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9AC41">
      <w:pPr>
        <w:tabs>
          <w:tab w:val="left" w:pos="4560"/>
        </w:tabs>
        <w:spacing w:line="360" w:lineRule="auto"/>
        <w:jc w:val="center"/>
        <w:rPr>
          <w:rFonts w:eastAsia="黑体"/>
          <w:sz w:val="28"/>
          <w:szCs w:val="28"/>
          <w:u w:val="single"/>
        </w:rPr>
      </w:pPr>
    </w:p>
    <w:p w14:paraId="575DFB2F">
      <w:pPr>
        <w:spacing w:line="360" w:lineRule="auto"/>
        <w:jc w:val="center"/>
        <w:rPr>
          <w:rFonts w:eastAsia="黑体"/>
          <w:b/>
          <w:sz w:val="28"/>
          <w:szCs w:val="28"/>
          <w:u w:val="single"/>
        </w:rPr>
      </w:pPr>
    </w:p>
    <w:p w14:paraId="4E131F08">
      <w:pPr>
        <w:spacing w:line="360" w:lineRule="auto"/>
        <w:ind w:firstLine="1501"/>
        <w:rPr>
          <w:rFonts w:eastAsia="黑体"/>
          <w:b/>
          <w:sz w:val="30"/>
        </w:rPr>
      </w:pPr>
    </w:p>
    <w:p w14:paraId="37932B7C">
      <w:pPr>
        <w:spacing w:line="360" w:lineRule="auto"/>
        <w:jc w:val="center"/>
        <w:rPr>
          <w:rFonts w:eastAsia="黑体"/>
          <w:b/>
          <w:sz w:val="84"/>
          <w:szCs w:val="84"/>
        </w:rPr>
      </w:pPr>
      <w:r>
        <w:rPr>
          <w:rFonts w:hint="eastAsia" w:eastAsia="黑体"/>
          <w:b/>
          <w:sz w:val="84"/>
          <w:szCs w:val="84"/>
          <w:lang w:eastAsia="zh-CN"/>
        </w:rPr>
        <w:t>遴</w:t>
      </w:r>
      <w:r>
        <w:rPr>
          <w:rFonts w:hint="eastAsia" w:eastAsia="黑体"/>
          <w:b/>
          <w:sz w:val="84"/>
          <w:szCs w:val="84"/>
          <w:lang w:val="en-US" w:eastAsia="zh-CN"/>
        </w:rPr>
        <w:t xml:space="preserve"> </w:t>
      </w:r>
      <w:r>
        <w:rPr>
          <w:rFonts w:hint="eastAsia" w:eastAsia="黑体"/>
          <w:b/>
          <w:sz w:val="84"/>
          <w:szCs w:val="84"/>
          <w:lang w:eastAsia="zh-CN"/>
        </w:rPr>
        <w:t>选</w:t>
      </w:r>
      <w:r>
        <w:rPr>
          <w:rFonts w:hint="eastAsia" w:eastAsia="黑体"/>
          <w:b/>
          <w:sz w:val="84"/>
          <w:szCs w:val="84"/>
        </w:rPr>
        <w:t xml:space="preserve"> 文 件</w:t>
      </w:r>
    </w:p>
    <w:p w14:paraId="08C8E68C">
      <w:pPr>
        <w:spacing w:line="480" w:lineRule="auto"/>
        <w:jc w:val="center"/>
        <w:rPr>
          <w:rFonts w:eastAsia="黑体"/>
          <w:sz w:val="36"/>
        </w:rPr>
      </w:pPr>
    </w:p>
    <w:p w14:paraId="6D66D3D5">
      <w:pPr>
        <w:spacing w:line="480" w:lineRule="auto"/>
        <w:jc w:val="center"/>
        <w:rPr>
          <w:rFonts w:eastAsia="黑体"/>
          <w:sz w:val="36"/>
        </w:rPr>
      </w:pPr>
    </w:p>
    <w:p w14:paraId="7C00611C">
      <w:pPr>
        <w:spacing w:line="480" w:lineRule="auto"/>
        <w:jc w:val="center"/>
        <w:rPr>
          <w:rFonts w:eastAsia="黑体"/>
          <w:sz w:val="36"/>
        </w:rPr>
      </w:pPr>
    </w:p>
    <w:p w14:paraId="7039AEF8">
      <w:pPr>
        <w:spacing w:line="480" w:lineRule="auto"/>
        <w:jc w:val="left"/>
        <w:rPr>
          <w:rFonts w:eastAsia="黑体"/>
          <w:b/>
          <w:sz w:val="30"/>
          <w:szCs w:val="30"/>
          <w:u w:val="single"/>
        </w:rPr>
      </w:pPr>
      <w:r>
        <w:rPr>
          <w:rFonts w:hint="eastAsia" w:eastAsia="黑体"/>
          <w:b/>
          <w:sz w:val="30"/>
          <w:szCs w:val="30"/>
        </w:rPr>
        <w:t>项目名称：</w:t>
      </w:r>
      <w:r>
        <w:rPr>
          <w:rFonts w:hint="eastAsia" w:eastAsia="黑体"/>
          <w:b/>
          <w:sz w:val="30"/>
          <w:szCs w:val="30"/>
          <w:u w:val="single"/>
        </w:rPr>
        <w:t>南京中医药大学</w:t>
      </w:r>
      <w:r>
        <w:rPr>
          <w:rFonts w:hint="eastAsia" w:eastAsia="黑体"/>
          <w:b/>
          <w:sz w:val="30"/>
          <w:szCs w:val="30"/>
          <w:u w:val="single"/>
          <w:lang w:val="en-US" w:eastAsia="zh-CN"/>
        </w:rPr>
        <w:t>水平衡测试综合服务</w:t>
      </w:r>
      <w:r>
        <w:rPr>
          <w:rFonts w:hint="eastAsia" w:eastAsia="黑体"/>
          <w:b/>
          <w:sz w:val="30"/>
          <w:szCs w:val="30"/>
          <w:u w:val="single"/>
        </w:rPr>
        <w:t xml:space="preserve">                                </w:t>
      </w:r>
    </w:p>
    <w:p w14:paraId="245051D7">
      <w:pPr>
        <w:spacing w:line="480" w:lineRule="auto"/>
        <w:jc w:val="left"/>
        <w:rPr>
          <w:rFonts w:eastAsia="黑体"/>
          <w:b/>
          <w:sz w:val="30"/>
          <w:szCs w:val="30"/>
        </w:rPr>
      </w:pPr>
      <w:r>
        <w:rPr>
          <w:rFonts w:hint="eastAsia" w:eastAsia="黑体"/>
          <w:b/>
          <w:sz w:val="30"/>
          <w:szCs w:val="30"/>
        </w:rPr>
        <w:t>项目编号：</w:t>
      </w:r>
      <w:r>
        <w:rPr>
          <w:rFonts w:hint="eastAsia" w:eastAsia="黑体"/>
          <w:b/>
          <w:sz w:val="30"/>
          <w:szCs w:val="30"/>
          <w:u w:val="single"/>
          <w:lang w:val="en-US" w:eastAsia="zh-CN"/>
        </w:rPr>
        <w:t>2024SZ1102</w:t>
      </w:r>
      <w:r>
        <w:rPr>
          <w:rFonts w:hint="eastAsia" w:eastAsia="黑体"/>
          <w:b/>
          <w:sz w:val="30"/>
          <w:szCs w:val="30"/>
          <w:u w:val="single"/>
        </w:rPr>
        <w:t xml:space="preserve">       </w:t>
      </w:r>
      <w:r>
        <w:rPr>
          <w:rFonts w:hint="eastAsia" w:eastAsia="黑体"/>
          <w:b/>
          <w:sz w:val="30"/>
          <w:szCs w:val="30"/>
          <w:u w:val="single"/>
          <w:lang w:val="en-US" w:eastAsia="zh-CN"/>
        </w:rPr>
        <w:t xml:space="preserve">    </w:t>
      </w:r>
      <w:r>
        <w:rPr>
          <w:rFonts w:hint="eastAsia" w:eastAsia="黑体"/>
          <w:b/>
          <w:sz w:val="30"/>
          <w:szCs w:val="30"/>
          <w:u w:val="single"/>
        </w:rPr>
        <w:t xml:space="preserve">        </w:t>
      </w:r>
      <w:r>
        <w:rPr>
          <w:rFonts w:hint="eastAsia" w:eastAsia="黑体"/>
          <w:b/>
          <w:sz w:val="30"/>
          <w:szCs w:val="30"/>
          <w:u w:val="single"/>
          <w:lang w:val="en-US" w:eastAsia="zh-CN"/>
        </w:rPr>
        <w:t xml:space="preserve"> </w:t>
      </w:r>
      <w:r>
        <w:rPr>
          <w:rFonts w:hint="eastAsia" w:eastAsia="黑体"/>
          <w:b/>
          <w:sz w:val="30"/>
          <w:szCs w:val="30"/>
          <w:u w:val="single"/>
        </w:rPr>
        <w:t xml:space="preserve">                  </w:t>
      </w:r>
    </w:p>
    <w:p w14:paraId="245EC05E">
      <w:pPr>
        <w:spacing w:line="480" w:lineRule="auto"/>
        <w:jc w:val="center"/>
        <w:rPr>
          <w:rFonts w:eastAsia="黑体"/>
          <w:sz w:val="25"/>
        </w:rPr>
      </w:pPr>
    </w:p>
    <w:p w14:paraId="537D037F">
      <w:pPr>
        <w:spacing w:line="360" w:lineRule="auto"/>
        <w:jc w:val="center"/>
        <w:rPr>
          <w:rFonts w:eastAsia="黑体"/>
          <w:sz w:val="25"/>
        </w:rPr>
      </w:pPr>
    </w:p>
    <w:p w14:paraId="216626C9">
      <w:pPr>
        <w:spacing w:line="360" w:lineRule="auto"/>
        <w:jc w:val="center"/>
        <w:rPr>
          <w:rFonts w:eastAsia="黑体"/>
          <w:sz w:val="25"/>
        </w:rPr>
      </w:pPr>
    </w:p>
    <w:p w14:paraId="3363F414">
      <w:pPr>
        <w:spacing w:line="360" w:lineRule="auto"/>
        <w:jc w:val="center"/>
        <w:rPr>
          <w:rFonts w:eastAsia="黑体"/>
          <w:sz w:val="25"/>
        </w:rPr>
      </w:pPr>
    </w:p>
    <w:p w14:paraId="140C90EA">
      <w:pPr>
        <w:spacing w:line="360" w:lineRule="auto"/>
        <w:jc w:val="center"/>
        <w:rPr>
          <w:rFonts w:eastAsia="黑体"/>
          <w:sz w:val="25"/>
        </w:rPr>
      </w:pPr>
    </w:p>
    <w:p w14:paraId="730B3C13">
      <w:pPr>
        <w:spacing w:line="360" w:lineRule="auto"/>
        <w:jc w:val="center"/>
        <w:rPr>
          <w:rFonts w:eastAsia="黑体"/>
          <w:sz w:val="25"/>
        </w:rPr>
      </w:pPr>
    </w:p>
    <w:p w14:paraId="43477E0C">
      <w:pPr>
        <w:spacing w:line="360" w:lineRule="auto"/>
        <w:jc w:val="center"/>
        <w:rPr>
          <w:rFonts w:eastAsia="黑体"/>
          <w:sz w:val="25"/>
        </w:rPr>
      </w:pPr>
    </w:p>
    <w:p w14:paraId="0AC53451">
      <w:pPr>
        <w:spacing w:line="360" w:lineRule="auto"/>
        <w:jc w:val="center"/>
        <w:rPr>
          <w:rFonts w:eastAsia="黑体"/>
          <w:sz w:val="25"/>
        </w:rPr>
      </w:pPr>
    </w:p>
    <w:p w14:paraId="40F017B9">
      <w:pPr>
        <w:spacing w:line="360" w:lineRule="auto"/>
        <w:jc w:val="center"/>
        <w:rPr>
          <w:rFonts w:eastAsia="黑体"/>
          <w:sz w:val="25"/>
        </w:rPr>
      </w:pPr>
    </w:p>
    <w:p w14:paraId="0796D91C">
      <w:pPr>
        <w:spacing w:line="360" w:lineRule="auto"/>
        <w:jc w:val="center"/>
        <w:rPr>
          <w:rFonts w:eastAsia="黑体"/>
          <w:sz w:val="32"/>
        </w:rPr>
      </w:pPr>
    </w:p>
    <w:p w14:paraId="217EC03B">
      <w:pPr>
        <w:spacing w:line="360" w:lineRule="auto"/>
        <w:jc w:val="center"/>
        <w:rPr>
          <w:rFonts w:hint="eastAsia" w:eastAsia="黑体"/>
          <w:sz w:val="32"/>
          <w:lang w:eastAsia="zh-CN"/>
        </w:rPr>
        <w:sectPr>
          <w:pgSz w:w="11906" w:h="16838"/>
          <w:pgMar w:top="1440" w:right="1587" w:bottom="1440" w:left="1587" w:header="851" w:footer="992" w:gutter="0"/>
          <w:pgNumType w:start="1"/>
          <w:cols w:space="720" w:num="1"/>
          <w:docGrid w:type="lines" w:linePitch="312" w:charSpace="0"/>
        </w:sectPr>
      </w:pPr>
      <w:r>
        <w:rPr>
          <w:rFonts w:hint="eastAsia" w:eastAsia="黑体"/>
          <w:sz w:val="32"/>
        </w:rPr>
        <w:t>南京中医药大学</w:t>
      </w:r>
      <w:r>
        <w:rPr>
          <w:rFonts w:hint="eastAsia" w:eastAsia="黑体"/>
          <w:sz w:val="32"/>
          <w:lang w:eastAsia="zh-CN"/>
        </w:rPr>
        <w:t>后勤基建处</w:t>
      </w:r>
    </w:p>
    <w:p w14:paraId="3F6434C5">
      <w:pPr>
        <w:spacing w:line="360" w:lineRule="auto"/>
        <w:jc w:val="center"/>
        <w:rPr>
          <w:b/>
          <w:szCs w:val="21"/>
        </w:rPr>
      </w:pPr>
      <w:r>
        <w:rPr>
          <w:rFonts w:hint="eastAsia"/>
          <w:b/>
          <w:szCs w:val="21"/>
        </w:rPr>
        <w:t>供应商须知前附表</w:t>
      </w:r>
    </w:p>
    <w:p w14:paraId="389D34CD">
      <w:pPr>
        <w:spacing w:line="360" w:lineRule="auto"/>
        <w:rPr>
          <w:bCs/>
          <w:szCs w:val="21"/>
        </w:rPr>
      </w:pPr>
      <w:r>
        <w:rPr>
          <w:rFonts w:hint="eastAsia"/>
          <w:bCs/>
          <w:szCs w:val="21"/>
        </w:rPr>
        <w:t>供应商须知前附表与正文内容相抵触的，以正文为准。</w:t>
      </w:r>
    </w:p>
    <w:tbl>
      <w:tblPr>
        <w:tblStyle w:val="1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689"/>
      </w:tblGrid>
      <w:tr w14:paraId="0B0C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1" w:type="dxa"/>
            <w:vAlign w:val="center"/>
          </w:tcPr>
          <w:p w14:paraId="69E4FB8D">
            <w:pPr>
              <w:spacing w:line="400" w:lineRule="exact"/>
              <w:jc w:val="center"/>
              <w:rPr>
                <w:rFonts w:ascii="仿宋_GB2312" w:hAnsi="Arial" w:eastAsia="仿宋_GB2312"/>
                <w:b/>
              </w:rPr>
            </w:pPr>
            <w:r>
              <w:rPr>
                <w:rFonts w:hint="eastAsia" w:ascii="仿宋_GB2312" w:hAnsi="Arial" w:eastAsia="仿宋_GB2312"/>
                <w:b/>
              </w:rPr>
              <w:t>序号</w:t>
            </w:r>
          </w:p>
        </w:tc>
        <w:tc>
          <w:tcPr>
            <w:tcW w:w="8689" w:type="dxa"/>
            <w:vAlign w:val="center"/>
          </w:tcPr>
          <w:p w14:paraId="5FB6333D">
            <w:pPr>
              <w:spacing w:line="400" w:lineRule="exact"/>
              <w:jc w:val="center"/>
              <w:rPr>
                <w:rFonts w:ascii="仿宋_GB2312" w:hAnsi="Arial" w:eastAsia="仿宋_GB2312"/>
                <w:b/>
              </w:rPr>
            </w:pPr>
            <w:r>
              <w:rPr>
                <w:rFonts w:hint="eastAsia" w:ascii="仿宋_GB2312" w:hAnsi="Arial" w:eastAsia="仿宋_GB2312"/>
                <w:b/>
              </w:rPr>
              <w:t>内  容</w:t>
            </w:r>
          </w:p>
        </w:tc>
      </w:tr>
      <w:tr w14:paraId="0CCE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1" w:type="dxa"/>
            <w:vAlign w:val="center"/>
          </w:tcPr>
          <w:p w14:paraId="3CC55E6B">
            <w:pPr>
              <w:spacing w:line="400" w:lineRule="exact"/>
              <w:jc w:val="center"/>
              <w:rPr>
                <w:rFonts w:ascii="仿宋_GB2312" w:hAnsi="Arial" w:eastAsia="仿宋_GB2312"/>
              </w:rPr>
            </w:pPr>
            <w:r>
              <w:rPr>
                <w:rFonts w:hint="eastAsia" w:ascii="仿宋_GB2312" w:hAnsi="Arial" w:eastAsia="仿宋_GB2312"/>
              </w:rPr>
              <w:t>1</w:t>
            </w:r>
          </w:p>
        </w:tc>
        <w:tc>
          <w:tcPr>
            <w:tcW w:w="8689" w:type="dxa"/>
            <w:vAlign w:val="center"/>
          </w:tcPr>
          <w:p w14:paraId="3C440451">
            <w:pPr>
              <w:spacing w:line="400" w:lineRule="exact"/>
              <w:rPr>
                <w:rFonts w:hint="default" w:ascii="仿宋_GB2312" w:hAnsi="Arial" w:eastAsia="仿宋_GB2312"/>
                <w:lang w:val="en-US" w:eastAsia="zh-CN"/>
              </w:rPr>
            </w:pPr>
            <w:r>
              <w:rPr>
                <w:rFonts w:hint="eastAsia" w:ascii="仿宋_GB2312" w:hAnsi="Arial" w:eastAsia="仿宋_GB2312"/>
              </w:rPr>
              <w:t>项目名称：南京中医药大学</w:t>
            </w:r>
            <w:r>
              <w:rPr>
                <w:rFonts w:hint="eastAsia" w:ascii="仿宋_GB2312" w:hAnsi="Arial" w:eastAsia="仿宋_GB2312"/>
                <w:lang w:val="en-US" w:eastAsia="zh-CN"/>
              </w:rPr>
              <w:t>水平衡测试综合服务</w:t>
            </w:r>
          </w:p>
          <w:p w14:paraId="5EBB45E4">
            <w:pPr>
              <w:spacing w:line="400" w:lineRule="exact"/>
              <w:rPr>
                <w:rFonts w:hint="default" w:ascii="仿宋_GB2312" w:hAnsi="Arial" w:eastAsia="仿宋_GB2312"/>
                <w:lang w:val="en-US" w:eastAsia="zh-CN"/>
              </w:rPr>
            </w:pPr>
            <w:r>
              <w:rPr>
                <w:rFonts w:hint="eastAsia" w:ascii="仿宋_GB2312" w:hAnsi="Arial" w:eastAsia="仿宋_GB2312"/>
              </w:rPr>
              <w:t>文件编号：</w:t>
            </w:r>
            <w:r>
              <w:rPr>
                <w:rFonts w:hint="eastAsia" w:ascii="仿宋_GB2312" w:hAnsi="Arial" w:eastAsia="仿宋_GB2312"/>
                <w:lang w:val="en-US" w:eastAsia="zh-CN"/>
              </w:rPr>
              <w:t>2024SZ1102</w:t>
            </w:r>
          </w:p>
        </w:tc>
      </w:tr>
      <w:tr w14:paraId="23CF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1" w:type="dxa"/>
            <w:vAlign w:val="center"/>
          </w:tcPr>
          <w:p w14:paraId="6C9E9D3D">
            <w:pPr>
              <w:spacing w:line="400" w:lineRule="exact"/>
              <w:ind w:right="102"/>
              <w:jc w:val="center"/>
              <w:rPr>
                <w:rFonts w:ascii="仿宋_GB2312" w:hAnsi="Arial" w:eastAsia="仿宋_GB2312"/>
              </w:rPr>
            </w:pPr>
            <w:r>
              <w:rPr>
                <w:rFonts w:hint="eastAsia" w:ascii="仿宋_GB2312" w:hAnsi="Arial" w:eastAsia="仿宋_GB2312"/>
              </w:rPr>
              <w:t>2</w:t>
            </w:r>
          </w:p>
        </w:tc>
        <w:tc>
          <w:tcPr>
            <w:tcW w:w="8689" w:type="dxa"/>
            <w:vAlign w:val="center"/>
          </w:tcPr>
          <w:p w14:paraId="03E19F37">
            <w:pPr>
              <w:spacing w:line="400" w:lineRule="exact"/>
              <w:rPr>
                <w:rFonts w:ascii="仿宋_GB2312" w:hAnsi="Arial" w:eastAsia="仿宋_GB2312"/>
              </w:rPr>
            </w:pPr>
            <w:r>
              <w:rPr>
                <w:rFonts w:hint="eastAsia" w:ascii="仿宋_GB2312" w:hAnsi="Arial" w:eastAsia="仿宋_GB2312"/>
              </w:rPr>
              <w:t>采购组织人：南京中医药大学</w:t>
            </w:r>
            <w:r>
              <w:rPr>
                <w:rFonts w:hint="eastAsia" w:ascii="仿宋_GB2312" w:hAnsi="Arial" w:eastAsia="仿宋_GB2312"/>
                <w:lang w:eastAsia="zh-CN"/>
              </w:rPr>
              <w:t>后勤基建处</w:t>
            </w:r>
            <w:r>
              <w:rPr>
                <w:rFonts w:hint="eastAsia" w:ascii="仿宋_GB2312" w:hAnsi="Arial" w:eastAsia="仿宋_GB2312"/>
              </w:rPr>
              <w:br w:type="textWrapping"/>
            </w:r>
            <w:r>
              <w:rPr>
                <w:rFonts w:hint="eastAsia" w:ascii="仿宋_GB2312" w:hAnsi="Arial" w:eastAsia="仿宋_GB2312"/>
              </w:rPr>
              <w:t>采购组织人地址：南京仙林大学城仙林大道138号南京中医药大学</w:t>
            </w:r>
            <w:r>
              <w:rPr>
                <w:rFonts w:hint="eastAsia" w:ascii="仿宋_GB2312" w:hAnsi="Arial" w:eastAsia="仿宋_GB2312"/>
                <w:lang w:eastAsia="zh-CN"/>
              </w:rPr>
              <w:t>东苑</w:t>
            </w:r>
            <w:r>
              <w:rPr>
                <w:rFonts w:hint="eastAsia" w:ascii="仿宋_GB2312" w:hAnsi="Arial" w:eastAsia="仿宋_GB2312"/>
              </w:rPr>
              <w:t>11</w:t>
            </w:r>
            <w:r>
              <w:rPr>
                <w:rFonts w:hint="eastAsia" w:ascii="仿宋_GB2312" w:hAnsi="Arial" w:eastAsia="仿宋_GB2312"/>
                <w:lang w:val="en-US" w:eastAsia="zh-CN"/>
              </w:rPr>
              <w:t>0</w:t>
            </w:r>
            <w:r>
              <w:rPr>
                <w:rFonts w:hint="eastAsia" w:ascii="仿宋_GB2312" w:hAnsi="Arial" w:eastAsia="仿宋_GB2312"/>
              </w:rPr>
              <w:t>室</w:t>
            </w:r>
          </w:p>
        </w:tc>
      </w:tr>
      <w:tr w14:paraId="25A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1" w:type="dxa"/>
            <w:vAlign w:val="center"/>
          </w:tcPr>
          <w:p w14:paraId="0A4A5887">
            <w:pPr>
              <w:spacing w:line="400" w:lineRule="exact"/>
              <w:ind w:right="102"/>
              <w:jc w:val="center"/>
              <w:rPr>
                <w:rFonts w:ascii="仿宋_GB2312" w:hAnsi="Arial" w:eastAsia="仿宋_GB2312"/>
              </w:rPr>
            </w:pPr>
            <w:r>
              <w:rPr>
                <w:rFonts w:hint="eastAsia" w:ascii="仿宋_GB2312" w:hAnsi="Arial" w:eastAsia="仿宋_GB2312"/>
              </w:rPr>
              <w:t>3</w:t>
            </w:r>
          </w:p>
        </w:tc>
        <w:tc>
          <w:tcPr>
            <w:tcW w:w="8689" w:type="dxa"/>
            <w:vAlign w:val="center"/>
          </w:tcPr>
          <w:p w14:paraId="081A5CC9">
            <w:pPr>
              <w:spacing w:line="400" w:lineRule="exact"/>
              <w:rPr>
                <w:rFonts w:hint="default" w:ascii="仿宋_GB2312" w:hAnsi="Arial" w:eastAsia="仿宋_GB2312"/>
                <w:lang w:val="en-US" w:eastAsia="zh-CN"/>
              </w:rPr>
            </w:pPr>
            <w:r>
              <w:rPr>
                <w:rFonts w:hint="eastAsia" w:ascii="仿宋_GB2312" w:hAnsi="Arial" w:eastAsia="仿宋_GB2312"/>
              </w:rPr>
              <w:t>项目预算：</w:t>
            </w:r>
            <w:r>
              <w:rPr>
                <w:rFonts w:hint="eastAsia" w:ascii="仿宋_GB2312" w:hAnsi="Arial" w:eastAsia="仿宋_GB2312"/>
                <w:lang w:val="en-US" w:eastAsia="zh-CN"/>
              </w:rPr>
              <w:t>15万元</w:t>
            </w:r>
          </w:p>
        </w:tc>
      </w:tr>
      <w:tr w14:paraId="6990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01" w:type="dxa"/>
            <w:vAlign w:val="center"/>
          </w:tcPr>
          <w:p w14:paraId="165D8957">
            <w:pPr>
              <w:spacing w:line="400" w:lineRule="exact"/>
              <w:jc w:val="center"/>
              <w:rPr>
                <w:rFonts w:ascii="仿宋_GB2312" w:hAnsi="Arial" w:eastAsia="仿宋_GB2312"/>
              </w:rPr>
            </w:pPr>
            <w:r>
              <w:rPr>
                <w:rFonts w:hint="eastAsia" w:ascii="仿宋_GB2312" w:hAnsi="Arial" w:eastAsia="仿宋_GB2312"/>
              </w:rPr>
              <w:t>4</w:t>
            </w:r>
          </w:p>
        </w:tc>
        <w:tc>
          <w:tcPr>
            <w:tcW w:w="8689" w:type="dxa"/>
            <w:vAlign w:val="center"/>
          </w:tcPr>
          <w:p w14:paraId="756C2DD3">
            <w:pPr>
              <w:spacing w:line="400" w:lineRule="exact"/>
              <w:rPr>
                <w:rFonts w:ascii="仿宋_GB2312" w:hAnsi="Arial" w:eastAsia="仿宋_GB2312"/>
              </w:rPr>
            </w:pPr>
            <w:r>
              <w:rPr>
                <w:rFonts w:hint="eastAsia" w:ascii="仿宋_GB2312" w:hAnsi="Arial" w:eastAsia="仿宋_GB2312"/>
              </w:rPr>
              <w:t>参加本次采购活动应当符合《中华人民共和国政府采购法》第二十二条规定，</w:t>
            </w:r>
            <w:r>
              <w:rPr>
                <w:rFonts w:hint="eastAsia" w:ascii="仿宋_GB2312" w:hAnsi="Arial" w:eastAsia="仿宋_GB2312"/>
                <w:b/>
                <w:bCs/>
              </w:rPr>
              <w:t>并具备以下条件：</w:t>
            </w:r>
          </w:p>
          <w:p w14:paraId="2DCA822B">
            <w:pPr>
              <w:spacing w:line="400" w:lineRule="exact"/>
              <w:rPr>
                <w:rFonts w:ascii="仿宋_GB2312" w:hAnsi="Arial" w:eastAsia="仿宋_GB2312"/>
              </w:rPr>
            </w:pPr>
            <w:r>
              <w:rPr>
                <w:rFonts w:hint="eastAsia" w:ascii="仿宋_GB2312" w:hAnsi="Arial" w:eastAsia="仿宋_GB2312"/>
              </w:rPr>
              <w:t>（1）供应商必须具有独立法人资格，采购内容在其营业执照的经营范围内，具备履行合同所必需的设备和专业技术能力，能独立承担民事责任。</w:t>
            </w:r>
          </w:p>
          <w:p w14:paraId="41271992">
            <w:pPr>
              <w:spacing w:line="400" w:lineRule="exact"/>
              <w:rPr>
                <w:rFonts w:hint="default" w:ascii="仿宋_GB2312" w:hAnsi="Arial" w:eastAsia="仿宋_GB2312"/>
                <w:lang w:val="en-US" w:eastAsia="zh-CN"/>
              </w:rPr>
            </w:pPr>
            <w:r>
              <w:rPr>
                <w:rFonts w:hint="eastAsia" w:ascii="仿宋_GB2312" w:hAnsi="Arial" w:eastAsia="仿宋_GB2312"/>
                <w:lang w:eastAsia="zh-CN"/>
              </w:rPr>
              <w:t>（</w:t>
            </w:r>
            <w:r>
              <w:rPr>
                <w:rFonts w:hint="eastAsia" w:ascii="仿宋_GB2312" w:hAnsi="Arial" w:eastAsia="仿宋_GB2312"/>
                <w:lang w:val="en-US" w:eastAsia="zh-CN"/>
              </w:rPr>
              <w:t>2</w:t>
            </w:r>
            <w:r>
              <w:rPr>
                <w:rFonts w:hint="eastAsia" w:ascii="仿宋_GB2312" w:hAnsi="Arial" w:eastAsia="仿宋_GB2312"/>
                <w:lang w:eastAsia="zh-CN"/>
              </w:rPr>
              <w:t>）</w:t>
            </w:r>
            <w:r>
              <w:rPr>
                <w:rFonts w:hint="eastAsia" w:ascii="仿宋_GB2312" w:hAnsi="Arial" w:eastAsia="仿宋_GB2312"/>
                <w:lang w:val="en-US" w:eastAsia="zh-CN"/>
              </w:rPr>
              <w:t>供应商为南京市供水节水管理部门第三方单位，需提供有效期内中标通知书或合同。</w:t>
            </w:r>
          </w:p>
          <w:p w14:paraId="65783787">
            <w:pPr>
              <w:spacing w:line="400" w:lineRule="exact"/>
              <w:rPr>
                <w:rFonts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3</w:t>
            </w:r>
            <w:r>
              <w:rPr>
                <w:rFonts w:hint="eastAsia" w:ascii="仿宋_GB2312" w:hAnsi="Arial" w:eastAsia="仿宋_GB2312"/>
              </w:rPr>
              <w:t>）具有良好的商业信誉和健全的财务会计制度，提供近半年内任一月份的财务状况报告，至少包括资产负债表和利润表，成立不满三个月的不需提供。</w:t>
            </w:r>
          </w:p>
          <w:p w14:paraId="70B828A3">
            <w:pPr>
              <w:spacing w:line="400" w:lineRule="exact"/>
              <w:rPr>
                <w:rFonts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4</w:t>
            </w:r>
            <w:r>
              <w:rPr>
                <w:rFonts w:hint="eastAsia" w:ascii="仿宋_GB2312" w:hAnsi="Arial" w:eastAsia="仿宋_GB2312"/>
              </w:rPr>
              <w:t>）有依法缴纳税收和社会保障资金的良好记录，提供参加本次采购活动前近半年内任一月份的依法缴纳税收和社会保障资金的银行缴款证明或税务部门出具的缴款证明。</w:t>
            </w:r>
          </w:p>
          <w:p w14:paraId="019E70ED">
            <w:pPr>
              <w:spacing w:line="400" w:lineRule="exact"/>
              <w:rPr>
                <w:rFonts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5</w:t>
            </w:r>
            <w:r>
              <w:rPr>
                <w:rFonts w:hint="eastAsia" w:ascii="仿宋_GB2312" w:hAnsi="Arial" w:eastAsia="仿宋_GB2312"/>
              </w:rPr>
              <w:t>）参加本次采购活动前3年内在经营活动中没有重大违法记录的书面声明。</w:t>
            </w:r>
          </w:p>
          <w:p w14:paraId="07A55A58">
            <w:pPr>
              <w:spacing w:line="400" w:lineRule="exact"/>
              <w:rPr>
                <w:rFonts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6</w:t>
            </w:r>
            <w:r>
              <w:rPr>
                <w:rFonts w:hint="eastAsia" w:ascii="仿宋_GB2312" w:hAnsi="Arial" w:eastAsia="仿宋_GB2312"/>
              </w:rPr>
              <w:t>）未被“信用中国”网站（www.creditchina.gov.cn）列入失信执行人、重大税收违法案件当事人名单、政府采购严重违法失信行为记录名单，提供信用查询截图。</w:t>
            </w:r>
          </w:p>
          <w:p w14:paraId="0667F569">
            <w:pPr>
              <w:spacing w:line="400" w:lineRule="exact"/>
              <w:rPr>
                <w:rFonts w:ascii="仿宋_GB2312" w:hAnsi="Arial" w:eastAsia="仿宋_GB2312"/>
              </w:rPr>
            </w:pPr>
            <w:r>
              <w:rPr>
                <w:rFonts w:hint="eastAsia" w:ascii="仿宋_GB2312" w:hAnsi="Arial" w:eastAsia="仿宋_GB2312"/>
              </w:rPr>
              <w:t>（</w:t>
            </w:r>
            <w:r>
              <w:rPr>
                <w:rFonts w:hint="eastAsia" w:ascii="仿宋_GB2312" w:hAnsi="Arial" w:eastAsia="仿宋_GB2312"/>
                <w:lang w:val="en-US" w:eastAsia="zh-CN"/>
              </w:rPr>
              <w:t>7</w:t>
            </w:r>
            <w:r>
              <w:rPr>
                <w:rFonts w:hint="eastAsia" w:ascii="仿宋_GB2312" w:hAnsi="Arial" w:eastAsia="仿宋_GB2312"/>
              </w:rPr>
              <w:t>）本项目不接受联合体响应。</w:t>
            </w:r>
          </w:p>
        </w:tc>
      </w:tr>
      <w:tr w14:paraId="00AC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1" w:type="dxa"/>
            <w:vAlign w:val="center"/>
          </w:tcPr>
          <w:p w14:paraId="436D3757">
            <w:pPr>
              <w:spacing w:line="400" w:lineRule="exact"/>
              <w:jc w:val="center"/>
              <w:rPr>
                <w:rFonts w:hint="eastAsia" w:ascii="仿宋_GB2312" w:hAnsi="Arial" w:eastAsia="仿宋_GB2312"/>
                <w:lang w:eastAsia="zh-CN"/>
              </w:rPr>
            </w:pPr>
            <w:r>
              <w:rPr>
                <w:rFonts w:hint="eastAsia" w:ascii="仿宋_GB2312" w:hAnsi="Arial" w:eastAsia="仿宋_GB2312"/>
                <w:lang w:val="en-US" w:eastAsia="zh-CN"/>
              </w:rPr>
              <w:t>5</w:t>
            </w:r>
          </w:p>
        </w:tc>
        <w:tc>
          <w:tcPr>
            <w:tcW w:w="8689" w:type="dxa"/>
            <w:vAlign w:val="center"/>
          </w:tcPr>
          <w:p w14:paraId="4F01B6A5">
            <w:pPr>
              <w:spacing w:line="400" w:lineRule="exact"/>
              <w:rPr>
                <w:rFonts w:ascii="仿宋_GB2312" w:hAnsi="Arial" w:eastAsia="仿宋_GB2312"/>
              </w:rPr>
            </w:pPr>
            <w:r>
              <w:rPr>
                <w:rFonts w:hint="eastAsia" w:ascii="仿宋_GB2312" w:hAnsi="Arial" w:eastAsia="仿宋_GB2312"/>
              </w:rPr>
              <w:t>响应文件制作份数要求：正本：壹份，副本：</w:t>
            </w:r>
            <w:r>
              <w:rPr>
                <w:rFonts w:hint="eastAsia" w:ascii="仿宋_GB2312" w:hAnsi="Arial" w:eastAsia="仿宋_GB2312"/>
                <w:lang w:eastAsia="zh-CN"/>
              </w:rPr>
              <w:t>贰</w:t>
            </w:r>
            <w:r>
              <w:rPr>
                <w:rFonts w:hint="eastAsia" w:ascii="仿宋_GB2312" w:hAnsi="Arial" w:eastAsia="仿宋_GB2312"/>
              </w:rPr>
              <w:t>份，共</w:t>
            </w:r>
            <w:r>
              <w:rPr>
                <w:rFonts w:hint="eastAsia" w:ascii="仿宋_GB2312" w:hAnsi="Arial" w:eastAsia="仿宋_GB2312"/>
                <w:lang w:eastAsia="zh-CN"/>
              </w:rPr>
              <w:t>叁</w:t>
            </w:r>
            <w:r>
              <w:rPr>
                <w:rFonts w:hint="eastAsia" w:ascii="仿宋_GB2312" w:hAnsi="Arial" w:eastAsia="仿宋_GB2312"/>
              </w:rPr>
              <w:t>份。</w:t>
            </w:r>
          </w:p>
        </w:tc>
      </w:tr>
      <w:tr w14:paraId="2153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1" w:type="dxa"/>
            <w:vAlign w:val="center"/>
          </w:tcPr>
          <w:p w14:paraId="369242AF">
            <w:pPr>
              <w:spacing w:line="400" w:lineRule="exact"/>
              <w:jc w:val="center"/>
              <w:rPr>
                <w:rFonts w:hint="eastAsia" w:ascii="仿宋_GB2312" w:hAnsi="Arial" w:eastAsia="仿宋_GB2312"/>
                <w:lang w:val="en-US" w:eastAsia="zh-CN"/>
              </w:rPr>
            </w:pPr>
            <w:r>
              <w:rPr>
                <w:rFonts w:hint="eastAsia" w:ascii="仿宋_GB2312" w:hAnsi="Arial" w:eastAsia="仿宋_GB2312"/>
                <w:lang w:val="en-US" w:eastAsia="zh-CN"/>
              </w:rPr>
              <w:t>6</w:t>
            </w:r>
          </w:p>
        </w:tc>
        <w:tc>
          <w:tcPr>
            <w:tcW w:w="8689" w:type="dxa"/>
            <w:vAlign w:val="center"/>
          </w:tcPr>
          <w:p w14:paraId="28551700">
            <w:pPr>
              <w:spacing w:line="400" w:lineRule="exact"/>
              <w:rPr>
                <w:rFonts w:ascii="仿宋_GB2312" w:hAnsi="Arial" w:eastAsia="仿宋_GB2312"/>
              </w:rPr>
            </w:pPr>
            <w:r>
              <w:rPr>
                <w:rFonts w:hint="eastAsia" w:ascii="仿宋_GB2312" w:hAnsi="Arial" w:eastAsia="仿宋_GB2312"/>
                <w:b/>
                <w:bCs/>
              </w:rPr>
              <w:t>本次采购联系事项：</w:t>
            </w:r>
          </w:p>
          <w:p w14:paraId="689C23DD">
            <w:pPr>
              <w:spacing w:line="400" w:lineRule="exact"/>
              <w:rPr>
                <w:rFonts w:ascii="仿宋_GB2312" w:hAnsi="Arial" w:eastAsia="仿宋_GB2312"/>
              </w:rPr>
            </w:pPr>
            <w:r>
              <w:rPr>
                <w:rFonts w:hint="eastAsia" w:ascii="仿宋_GB2312" w:hAnsi="Arial" w:eastAsia="仿宋_GB2312"/>
              </w:rPr>
              <w:t>项目联系人：</w:t>
            </w:r>
            <w:r>
              <w:rPr>
                <w:rFonts w:hint="eastAsia" w:ascii="仿宋_GB2312" w:hAnsi="Arial" w:eastAsia="仿宋_GB2312"/>
                <w:lang w:val="en-US" w:eastAsia="zh-CN"/>
              </w:rPr>
              <w:t>徐</w:t>
            </w:r>
            <w:r>
              <w:rPr>
                <w:rFonts w:hint="eastAsia" w:ascii="仿宋_GB2312" w:hAnsi="Arial" w:eastAsia="仿宋_GB2312"/>
              </w:rPr>
              <w:t>老师</w:t>
            </w:r>
          </w:p>
          <w:p w14:paraId="54748AFF">
            <w:pPr>
              <w:spacing w:line="400" w:lineRule="exact"/>
              <w:rPr>
                <w:rFonts w:hint="default" w:ascii="仿宋_GB2312" w:hAnsi="Arial" w:eastAsia="仿宋_GB2312"/>
                <w:lang w:val="en-US" w:eastAsia="zh-CN"/>
              </w:rPr>
            </w:pPr>
            <w:r>
              <w:rPr>
                <w:rFonts w:hint="eastAsia" w:ascii="仿宋_GB2312" w:hAnsi="Arial" w:eastAsia="仿宋_GB2312"/>
              </w:rPr>
              <w:t>联系电话：</w:t>
            </w:r>
            <w:r>
              <w:rPr>
                <w:rFonts w:hint="eastAsia" w:ascii="仿宋_GB2312" w:hAnsi="Arial" w:eastAsia="仿宋_GB2312"/>
                <w:lang w:val="en-US" w:eastAsia="zh-CN"/>
              </w:rPr>
              <w:t>025-</w:t>
            </w:r>
            <w:r>
              <w:rPr>
                <w:rFonts w:hint="eastAsia" w:ascii="仿宋_GB2312" w:hAnsi="Arial" w:eastAsia="仿宋_GB2312"/>
              </w:rPr>
              <w:t>85811</w:t>
            </w:r>
            <w:r>
              <w:rPr>
                <w:rFonts w:hint="eastAsia" w:ascii="仿宋_GB2312" w:hAnsi="Arial" w:eastAsia="仿宋_GB2312"/>
                <w:lang w:val="en-US" w:eastAsia="zh-CN"/>
              </w:rPr>
              <w:t>631</w:t>
            </w:r>
          </w:p>
        </w:tc>
      </w:tr>
    </w:tbl>
    <w:p w14:paraId="425140CC">
      <w:pPr>
        <w:spacing w:line="360" w:lineRule="auto"/>
        <w:rPr>
          <w:szCs w:val="21"/>
        </w:rPr>
      </w:pPr>
      <w:r>
        <w:rPr>
          <w:rFonts w:hint="eastAsia"/>
          <w:szCs w:val="21"/>
        </w:rPr>
        <w:br w:type="page"/>
      </w:r>
      <w:r>
        <w:rPr>
          <w:rFonts w:hint="eastAsia"/>
          <w:szCs w:val="21"/>
        </w:rPr>
        <w:t xml:space="preserve">    </w:t>
      </w:r>
      <w:r>
        <w:rPr>
          <w:rFonts w:hint="eastAsia"/>
        </w:rPr>
        <w:t>南京中医药大学（采购方）就我校</w:t>
      </w:r>
      <w:r>
        <w:rPr>
          <w:rFonts w:hint="eastAsia"/>
          <w:lang w:val="en-US" w:eastAsia="zh-CN"/>
        </w:rPr>
        <w:t>水平衡测试综合服务</w:t>
      </w:r>
      <w:r>
        <w:rPr>
          <w:rFonts w:hint="eastAsia"/>
        </w:rPr>
        <w:t>项目进行公开招标，为了维护双方的合法权益，使整个采购工作诚信、公平、公正，现将具体采购事宜告知如下：</w:t>
      </w:r>
    </w:p>
    <w:p w14:paraId="2D2E1071">
      <w:pPr>
        <w:spacing w:line="360" w:lineRule="auto"/>
        <w:ind w:firstLine="472" w:firstLineChars="196"/>
        <w:rPr>
          <w:b/>
        </w:rPr>
      </w:pPr>
      <w:r>
        <w:rPr>
          <w:rFonts w:hint="eastAsia"/>
          <w:b/>
        </w:rPr>
        <w:t>一、项目概况</w:t>
      </w:r>
    </w:p>
    <w:p w14:paraId="60083629">
      <w:pPr>
        <w:spacing w:line="360" w:lineRule="auto"/>
        <w:ind w:firstLine="480" w:firstLineChars="200"/>
        <w:rPr>
          <w:rFonts w:hint="default" w:eastAsia="宋体"/>
          <w:szCs w:val="21"/>
          <w:lang w:val="en-US" w:eastAsia="zh-CN"/>
        </w:rPr>
      </w:pPr>
      <w:r>
        <w:rPr>
          <w:rFonts w:hint="eastAsia"/>
          <w:szCs w:val="21"/>
        </w:rPr>
        <w:t>1、项目名称：</w:t>
      </w:r>
      <w:r>
        <w:rPr>
          <w:rFonts w:hint="eastAsia"/>
          <w:lang w:val="en-US" w:eastAsia="zh-CN"/>
        </w:rPr>
        <w:t>水平衡测试综合服务</w:t>
      </w:r>
    </w:p>
    <w:p w14:paraId="562E0C22">
      <w:pPr>
        <w:spacing w:line="360" w:lineRule="auto"/>
        <w:ind w:firstLine="480" w:firstLineChars="200"/>
        <w:rPr>
          <w:szCs w:val="21"/>
        </w:rPr>
      </w:pPr>
      <w:r>
        <w:rPr>
          <w:rFonts w:hint="eastAsia"/>
          <w:szCs w:val="21"/>
        </w:rPr>
        <w:t>2、项目地点：南京中医药大学</w:t>
      </w:r>
      <w:r>
        <w:rPr>
          <w:rFonts w:hint="eastAsia"/>
          <w:szCs w:val="21"/>
          <w:lang w:val="en-US" w:eastAsia="zh-CN"/>
        </w:rPr>
        <w:t>汉中门校区、</w:t>
      </w:r>
      <w:r>
        <w:rPr>
          <w:rFonts w:hint="eastAsia"/>
          <w:szCs w:val="21"/>
        </w:rPr>
        <w:t>仙林校区</w:t>
      </w:r>
    </w:p>
    <w:p w14:paraId="7DE29962">
      <w:pPr>
        <w:spacing w:line="360" w:lineRule="auto"/>
        <w:ind w:firstLine="480" w:firstLineChars="200"/>
        <w:rPr>
          <w:rFonts w:hint="default" w:eastAsia="宋体"/>
          <w:szCs w:val="21"/>
          <w:lang w:val="en-US" w:eastAsia="zh-CN"/>
        </w:rPr>
      </w:pPr>
      <w:r>
        <w:rPr>
          <w:rFonts w:hint="eastAsia"/>
          <w:szCs w:val="21"/>
        </w:rPr>
        <w:t>3、项目预算：</w:t>
      </w:r>
      <w:r>
        <w:rPr>
          <w:rFonts w:hint="eastAsia"/>
          <w:szCs w:val="21"/>
          <w:lang w:val="en-US" w:eastAsia="zh-CN"/>
        </w:rPr>
        <w:t>15万元</w:t>
      </w:r>
    </w:p>
    <w:p w14:paraId="7F905644">
      <w:pPr>
        <w:spacing w:line="360" w:lineRule="auto"/>
        <w:ind w:firstLine="480" w:firstLineChars="200"/>
      </w:pPr>
      <w:r>
        <w:rPr>
          <w:rFonts w:hint="eastAsia"/>
          <w:szCs w:val="21"/>
        </w:rPr>
        <w:t>4、采购内容及技术要求：见附件。</w:t>
      </w:r>
    </w:p>
    <w:p w14:paraId="7ECDFCC4">
      <w:pPr>
        <w:spacing w:line="360" w:lineRule="auto"/>
        <w:ind w:firstLine="482" w:firstLineChars="200"/>
        <w:rPr>
          <w:rFonts w:ascii="宋体" w:hAnsi="宋体"/>
          <w:b/>
        </w:rPr>
      </w:pPr>
      <w:r>
        <w:rPr>
          <w:rFonts w:hint="eastAsia" w:ascii="宋体" w:hAnsi="宋体"/>
          <w:b/>
          <w:lang w:eastAsia="zh-CN"/>
        </w:rPr>
        <w:t>二</w:t>
      </w:r>
      <w:r>
        <w:rPr>
          <w:rFonts w:hint="eastAsia" w:ascii="宋体" w:hAnsi="宋体"/>
          <w:b/>
        </w:rPr>
        <w:t>、基本要求</w:t>
      </w:r>
    </w:p>
    <w:p w14:paraId="76686E0B">
      <w:pPr>
        <w:spacing w:line="360" w:lineRule="auto"/>
        <w:ind w:firstLine="480" w:firstLineChars="200"/>
        <w:rPr>
          <w:rFonts w:hint="eastAsia"/>
          <w:szCs w:val="21"/>
        </w:rPr>
      </w:pPr>
      <w:r>
        <w:rPr>
          <w:rFonts w:hint="eastAsia"/>
          <w:szCs w:val="21"/>
        </w:rPr>
        <w:t>1、本文件中的采购人为南京中医药大学，亦称发包方；响应人系指相关标的物的承包人；成交人系指最后成交的响应人，亦称承包方。</w:t>
      </w:r>
    </w:p>
    <w:p w14:paraId="657B3399">
      <w:pPr>
        <w:spacing w:line="360" w:lineRule="auto"/>
        <w:ind w:firstLine="480" w:firstLineChars="200"/>
        <w:rPr>
          <w:rFonts w:hint="eastAsia"/>
          <w:szCs w:val="21"/>
        </w:rPr>
      </w:pPr>
      <w:r>
        <w:rPr>
          <w:rFonts w:hint="eastAsia"/>
          <w:szCs w:val="21"/>
        </w:rPr>
        <w:t xml:space="preserve">2、无论采购结果如何，响应人应承担其报价文件编制与递交过程中所发生的一切费用。采购人对上述费用不予承担。 </w:t>
      </w:r>
    </w:p>
    <w:p w14:paraId="33B50F14">
      <w:pPr>
        <w:spacing w:line="360" w:lineRule="auto"/>
        <w:ind w:firstLine="480" w:firstLineChars="200"/>
        <w:rPr>
          <w:rFonts w:hint="eastAsia"/>
          <w:szCs w:val="21"/>
        </w:rPr>
      </w:pPr>
      <w:r>
        <w:rPr>
          <w:rFonts w:hint="eastAsia"/>
          <w:szCs w:val="21"/>
        </w:rPr>
        <w:t>3、响应人应详阅采购文件中的所有条款、格式、表格、条件及规范，如果不按采购文件要求提交响应文件和资料，其风险应由响应人自行承担，并根据有关条款规定，其响应文件被视为无效。</w:t>
      </w:r>
    </w:p>
    <w:p w14:paraId="3E540FBE">
      <w:pPr>
        <w:spacing w:line="360" w:lineRule="auto"/>
        <w:ind w:firstLine="480" w:firstLineChars="200"/>
        <w:rPr>
          <w:rFonts w:hint="eastAsia"/>
          <w:szCs w:val="21"/>
        </w:rPr>
      </w:pPr>
      <w:r>
        <w:rPr>
          <w:rFonts w:hint="eastAsia"/>
          <w:szCs w:val="21"/>
        </w:rPr>
        <w:t>4、供应商被视为充分熟悉本采购项目所在地的各种情况以及与履行合同有关一切其他情况，包括自然环境、气候条件、劳动力及公共设施等，本采购文件不再对上述情况进行描述。</w:t>
      </w:r>
    </w:p>
    <w:p w14:paraId="1EE1189B">
      <w:pPr>
        <w:spacing w:line="360" w:lineRule="auto"/>
        <w:ind w:firstLine="480" w:firstLineChars="200"/>
        <w:rPr>
          <w:rFonts w:hint="eastAsia"/>
          <w:szCs w:val="21"/>
        </w:rPr>
      </w:pPr>
      <w:r>
        <w:rPr>
          <w:rFonts w:hint="eastAsia"/>
          <w:szCs w:val="21"/>
        </w:rPr>
        <w:t>5、无论采购文件是否提及，供应商所递交的响应文件中所有内容均应是真实有效的；供应商所提供的产品或者服务，必须满足国家相关强制性规定要求，否则，将视为不合格供应商，其响应文件无效。</w:t>
      </w:r>
    </w:p>
    <w:p w14:paraId="7F632162">
      <w:pPr>
        <w:spacing w:line="360" w:lineRule="auto"/>
        <w:ind w:firstLine="480" w:firstLineChars="200"/>
        <w:rPr>
          <w:rFonts w:hint="eastAsia"/>
          <w:szCs w:val="21"/>
        </w:rPr>
      </w:pPr>
      <w:r>
        <w:rPr>
          <w:rFonts w:hint="eastAsia"/>
          <w:szCs w:val="21"/>
        </w:rPr>
        <w:t>6、该项目从现场勘查开始至项目履约完毕全过程中涉及的一切安全责任具有供应商自行承担；如实施过程中对采购人产生实质性损失及后果，供应商必须承担一切经济、法律责任。</w:t>
      </w:r>
    </w:p>
    <w:p w14:paraId="233F03C8">
      <w:pPr>
        <w:spacing w:line="360" w:lineRule="auto"/>
        <w:ind w:firstLine="480" w:firstLineChars="200"/>
        <w:rPr>
          <w:rFonts w:hint="eastAsia"/>
          <w:szCs w:val="21"/>
        </w:rPr>
      </w:pPr>
      <w:r>
        <w:rPr>
          <w:rFonts w:hint="eastAsia"/>
          <w:szCs w:val="21"/>
        </w:rPr>
        <w:t xml:space="preserve">7、响应文件的语言及度量衡单位。供应商提交的响应文件以及供应商与采购方就有关采购的所有来往通知、函件和文件均应使用简体中文。除技术性能另有规定外，响应文件所使用的度量衡单位，均须采用国家法定计量单位。 </w:t>
      </w:r>
    </w:p>
    <w:p w14:paraId="17BA6D5F">
      <w:pPr>
        <w:spacing w:line="360" w:lineRule="auto"/>
        <w:ind w:firstLine="480" w:firstLineChars="200"/>
        <w:rPr>
          <w:rFonts w:ascii="宋体" w:hAnsi="宋体"/>
        </w:rPr>
      </w:pPr>
      <w:r>
        <w:rPr>
          <w:rFonts w:hint="eastAsia"/>
          <w:szCs w:val="21"/>
        </w:rPr>
        <w:t>8、</w:t>
      </w:r>
      <w:r>
        <w:rPr>
          <w:rFonts w:hint="eastAsia" w:ascii="宋体" w:hAnsi="宋体"/>
        </w:rPr>
        <w:t>现场勘查：</w:t>
      </w:r>
    </w:p>
    <w:p w14:paraId="21AA7D83">
      <w:pPr>
        <w:spacing w:line="360" w:lineRule="auto"/>
        <w:ind w:firstLine="480" w:firstLineChars="200"/>
        <w:rPr>
          <w:rFonts w:ascii="宋体" w:hAnsi="宋体"/>
        </w:rPr>
      </w:pPr>
      <w:r>
        <w:rPr>
          <w:rFonts w:hint="eastAsia" w:ascii="宋体" w:hAnsi="宋体"/>
        </w:rPr>
        <w:t>（1）投标人在投标以前应自费对维保现场和设备情况进行现场实地勘察，以获取投标人认为必须了解的任何信息或情况。投标人被认为在递交正式投标文件以前已经对维保现场及设备情况有了充分的了解和评估，并已将这种了解和评估的结果反映到投标人的投标文件中。</w:t>
      </w:r>
    </w:p>
    <w:p w14:paraId="1439C251">
      <w:pPr>
        <w:spacing w:line="360" w:lineRule="auto"/>
        <w:ind w:firstLine="480" w:firstLineChars="200"/>
        <w:rPr>
          <w:rFonts w:ascii="宋体" w:hAnsi="宋体"/>
        </w:rPr>
      </w:pPr>
      <w:r>
        <w:rPr>
          <w:rFonts w:hint="eastAsia" w:ascii="宋体" w:hAnsi="宋体"/>
        </w:rPr>
        <w:t>（2）进行现场勘察的投标人或其代表应自行承担勘查过程中的安全事宜或可能造成的人身伤害或财产损失、损毁之责任。</w:t>
      </w:r>
    </w:p>
    <w:p w14:paraId="776A0BEE">
      <w:pPr>
        <w:spacing w:line="360" w:lineRule="auto"/>
        <w:ind w:firstLine="480" w:firstLineChars="200"/>
        <w:rPr>
          <w:rFonts w:ascii="宋体" w:hAnsi="宋体"/>
        </w:rPr>
      </w:pPr>
      <w:r>
        <w:rPr>
          <w:rFonts w:hint="eastAsia" w:ascii="宋体" w:hAnsi="宋体"/>
        </w:rPr>
        <w:t>（3）投标人自行勘查现场。地</w:t>
      </w:r>
      <w:r>
        <w:rPr>
          <w:rFonts w:hint="eastAsia" w:ascii="宋体" w:hAnsi="宋体"/>
          <w:color w:val="auto"/>
        </w:rPr>
        <w:t>点：南京中医药大学仙林校区</w:t>
      </w:r>
      <w:r>
        <w:rPr>
          <w:rFonts w:hint="eastAsia" w:ascii="宋体" w:hAnsi="宋体"/>
          <w:color w:val="auto"/>
          <w:lang w:val="en-US" w:eastAsia="zh-CN"/>
        </w:rPr>
        <w:t>东苑110</w:t>
      </w:r>
      <w:r>
        <w:rPr>
          <w:rFonts w:hint="eastAsia" w:ascii="宋体" w:hAnsi="宋体"/>
          <w:color w:val="auto"/>
        </w:rPr>
        <w:t>。联系人：</w:t>
      </w:r>
      <w:r>
        <w:rPr>
          <w:rFonts w:hint="eastAsia" w:ascii="宋体" w:hAnsi="宋体"/>
          <w:color w:val="auto"/>
          <w:lang w:val="en-US" w:eastAsia="zh-CN"/>
        </w:rPr>
        <w:t>徐</w:t>
      </w:r>
      <w:r>
        <w:rPr>
          <w:rFonts w:hint="eastAsia" w:ascii="宋体" w:hAnsi="宋体"/>
          <w:color w:val="auto"/>
        </w:rPr>
        <w:t>老师，联系电话：</w:t>
      </w:r>
      <w:r>
        <w:rPr>
          <w:rFonts w:hint="eastAsia" w:ascii="仿宋_GB2312" w:hAnsi="Arial" w:eastAsia="仿宋_GB2312"/>
          <w:lang w:val="en-US" w:eastAsia="zh-CN"/>
        </w:rPr>
        <w:t>025-</w:t>
      </w:r>
      <w:r>
        <w:rPr>
          <w:rFonts w:hint="eastAsia" w:ascii="仿宋_GB2312" w:hAnsi="Arial" w:eastAsia="仿宋_GB2312"/>
        </w:rPr>
        <w:t>85811</w:t>
      </w:r>
      <w:r>
        <w:rPr>
          <w:rFonts w:hint="eastAsia" w:ascii="仿宋_GB2312" w:hAnsi="Arial" w:eastAsia="仿宋_GB2312"/>
          <w:lang w:val="en-US" w:eastAsia="zh-CN"/>
        </w:rPr>
        <w:t>631</w:t>
      </w:r>
      <w:r>
        <w:rPr>
          <w:rFonts w:hint="eastAsia" w:ascii="宋体" w:hAnsi="宋体"/>
          <w:color w:val="auto"/>
        </w:rPr>
        <w:t>。</w:t>
      </w:r>
    </w:p>
    <w:p w14:paraId="27D576E7">
      <w:pPr>
        <w:spacing w:line="360" w:lineRule="auto"/>
        <w:ind w:firstLine="480" w:firstLineChars="200"/>
        <w:rPr>
          <w:rFonts w:hint="eastAsia"/>
          <w:szCs w:val="21"/>
        </w:rPr>
      </w:pPr>
      <w:r>
        <w:rPr>
          <w:rFonts w:hint="eastAsia"/>
          <w:szCs w:val="21"/>
          <w:lang w:val="en-US" w:eastAsia="zh-CN"/>
        </w:rPr>
        <w:t>9</w:t>
      </w:r>
      <w:r>
        <w:rPr>
          <w:rFonts w:hint="eastAsia"/>
          <w:szCs w:val="21"/>
        </w:rPr>
        <w:t>、本采购文件作为合同的组成部分，与合同具有同等效力。本文件未尽事宜将在签订合同中补充。</w:t>
      </w:r>
    </w:p>
    <w:p w14:paraId="16612934">
      <w:pPr>
        <w:spacing w:line="360" w:lineRule="auto"/>
        <w:ind w:firstLine="480" w:firstLineChars="200"/>
        <w:rPr>
          <w:rFonts w:hint="eastAsia"/>
          <w:szCs w:val="21"/>
        </w:rPr>
      </w:pPr>
    </w:p>
    <w:p w14:paraId="62A9C3F4">
      <w:pPr>
        <w:spacing w:line="360" w:lineRule="auto"/>
        <w:ind w:firstLine="482" w:firstLineChars="200"/>
        <w:rPr>
          <w:rFonts w:ascii="宋体" w:hAnsi="宋体"/>
          <w:b/>
        </w:rPr>
      </w:pPr>
      <w:r>
        <w:rPr>
          <w:rFonts w:hint="eastAsia" w:ascii="宋体" w:hAnsi="宋体"/>
          <w:b/>
        </w:rPr>
        <w:t>四、响应文件的基本内容</w:t>
      </w:r>
    </w:p>
    <w:p w14:paraId="0D1CFF5B">
      <w:pPr>
        <w:spacing w:line="360" w:lineRule="auto"/>
        <w:ind w:firstLine="480" w:firstLineChars="200"/>
        <w:rPr>
          <w:rFonts w:ascii="宋体" w:hAnsi="宋体" w:cs="宋体"/>
        </w:rPr>
      </w:pPr>
      <w:r>
        <w:rPr>
          <w:rFonts w:hint="eastAsia" w:ascii="宋体" w:hAnsi="宋体" w:cs="宋体"/>
        </w:rPr>
        <w:t>1、响应文件的组成（复印件需加盖公章，原件备查，必须注意复印件的清晰度，如有虚假，作无效处理）</w:t>
      </w:r>
    </w:p>
    <w:p w14:paraId="25DF007D">
      <w:pPr>
        <w:spacing w:line="360" w:lineRule="auto"/>
        <w:ind w:firstLine="480" w:firstLineChars="200"/>
        <w:rPr>
          <w:rFonts w:ascii="宋体" w:hAnsi="宋体" w:cs="宋体"/>
        </w:rPr>
      </w:pPr>
      <w:r>
        <w:rPr>
          <w:rFonts w:hint="eastAsia" w:ascii="宋体" w:hAnsi="宋体" w:cs="宋体"/>
        </w:rPr>
        <w:t>（1）投标函；（格式见附件）</w:t>
      </w:r>
    </w:p>
    <w:p w14:paraId="42C1F048">
      <w:pPr>
        <w:spacing w:line="360" w:lineRule="auto"/>
        <w:ind w:firstLine="480" w:firstLineChars="200"/>
        <w:rPr>
          <w:rFonts w:ascii="宋体" w:hAnsi="宋体" w:cs="宋体"/>
        </w:rPr>
      </w:pPr>
      <w:r>
        <w:rPr>
          <w:rFonts w:hint="eastAsia" w:ascii="宋体" w:hAnsi="宋体" w:cs="宋体"/>
        </w:rPr>
        <w:t>（2）报价一览表；（</w:t>
      </w:r>
      <w:r>
        <w:rPr>
          <w:rFonts w:hint="eastAsia"/>
        </w:rPr>
        <w:t>格式</w:t>
      </w:r>
      <w:r>
        <w:rPr>
          <w:rFonts w:hint="eastAsia"/>
          <w:lang w:val="en-US" w:eastAsia="zh-CN"/>
        </w:rPr>
        <w:t>自拟</w:t>
      </w:r>
      <w:r>
        <w:rPr>
          <w:rFonts w:hint="eastAsia"/>
        </w:rPr>
        <w:t>，根据</w:t>
      </w:r>
      <w:r>
        <w:rPr>
          <w:rFonts w:hint="eastAsia"/>
          <w:lang w:val="en-US" w:eastAsia="zh-CN"/>
        </w:rPr>
        <w:t>服务要求</w:t>
      </w:r>
      <w:r>
        <w:rPr>
          <w:rFonts w:hint="eastAsia"/>
        </w:rPr>
        <w:t>报出各项单价及最终总价</w:t>
      </w:r>
      <w:r>
        <w:rPr>
          <w:rFonts w:hint="eastAsia" w:ascii="宋体" w:hAnsi="宋体" w:cs="宋体"/>
        </w:rPr>
        <w:t>）</w:t>
      </w:r>
    </w:p>
    <w:p w14:paraId="4F38B8F2">
      <w:pPr>
        <w:spacing w:line="360" w:lineRule="auto"/>
        <w:ind w:firstLine="480" w:firstLineChars="200"/>
      </w:pPr>
      <w:r>
        <w:rPr>
          <w:rFonts w:hint="eastAsia" w:ascii="宋体" w:hAnsi="宋体" w:cs="宋体"/>
        </w:rPr>
        <w:t>（3）提供本企业资质证书及相关文件：包括法人代表授权书（原件）、供应商营业执照副本、税务登记证、组织机构代码证（或三证合一）、近半年内任一月份财务状况报告（成立不满三个月的不需提供）、近半年任一月份税收、社保缴纳证明、近3年内无重大违法记录声明、信用</w:t>
      </w:r>
      <w:r>
        <w:rPr>
          <w:rFonts w:hint="eastAsia" w:ascii="宋体" w:hAnsi="宋体" w:cs="宋体"/>
          <w:lang w:val="en-US" w:eastAsia="zh-CN"/>
        </w:rPr>
        <w:t>中国</w:t>
      </w:r>
      <w:r>
        <w:rPr>
          <w:rFonts w:hint="eastAsia" w:ascii="宋体" w:hAnsi="宋体" w:cs="宋体"/>
        </w:rPr>
        <w:t>查询截图、非联合体投标声明</w:t>
      </w:r>
      <w:r>
        <w:rPr>
          <w:rFonts w:hint="eastAsia" w:ascii="宋体" w:hAnsi="宋体" w:cs="宋体"/>
          <w:lang w:eastAsia="zh-CN"/>
        </w:rPr>
        <w:t>、</w:t>
      </w:r>
      <w:r>
        <w:rPr>
          <w:rFonts w:hint="eastAsia" w:ascii="宋体" w:hAnsi="宋体" w:cs="宋体"/>
          <w:lang w:val="en-US" w:eastAsia="zh-CN"/>
        </w:rPr>
        <w:t>南京市供水节水管理部门第三方单位中标通知书或合同</w:t>
      </w:r>
      <w:r>
        <w:rPr>
          <w:rFonts w:hint="eastAsia" w:ascii="宋体" w:hAnsi="宋体" w:cs="宋体"/>
        </w:rPr>
        <w:t>；</w:t>
      </w:r>
    </w:p>
    <w:p w14:paraId="6B0A2968">
      <w:pPr>
        <w:spacing w:line="360" w:lineRule="auto"/>
        <w:ind w:firstLine="480" w:firstLineChars="200"/>
      </w:pPr>
      <w:r>
        <w:rPr>
          <w:rFonts w:hint="eastAsia" w:ascii="宋体" w:hAnsi="宋体"/>
        </w:rPr>
        <w:t>（4）</w:t>
      </w:r>
      <w:r>
        <w:rPr>
          <w:rFonts w:hint="eastAsia"/>
        </w:rPr>
        <w:t>成功案例和业绩证明。（格式见附件）</w:t>
      </w:r>
    </w:p>
    <w:p w14:paraId="485ED295">
      <w:pPr>
        <w:spacing w:line="360" w:lineRule="auto"/>
        <w:ind w:firstLine="480" w:firstLineChars="200"/>
        <w:rPr>
          <w:rFonts w:hint="eastAsia"/>
        </w:rPr>
      </w:pPr>
      <w:r>
        <w:rPr>
          <w:rFonts w:hint="eastAsia"/>
        </w:rPr>
        <w:t>响应人需提供20</w:t>
      </w:r>
      <w:r>
        <w:rPr>
          <w:rFonts w:hint="eastAsia"/>
          <w:lang w:val="en-US" w:eastAsia="zh-CN"/>
        </w:rPr>
        <w:t>21</w:t>
      </w:r>
      <w:r>
        <w:rPr>
          <w:rFonts w:hint="eastAsia"/>
        </w:rPr>
        <w:t>年1月1日以来同类</w:t>
      </w:r>
      <w:r>
        <w:rPr>
          <w:rFonts w:hint="eastAsia"/>
          <w:lang w:val="en-US" w:eastAsia="zh-CN"/>
        </w:rPr>
        <w:t>水平衡测试</w:t>
      </w:r>
      <w:r>
        <w:rPr>
          <w:rFonts w:hint="eastAsia"/>
        </w:rPr>
        <w:t>项目合同一览表及对应合同复印件，并附上相关联系人信息。合同必须含有标的物、合同价以及盖章签字部分所在页且清晰可见，否则不得分。中标人合同原件备查，如有虚假即为作废。</w:t>
      </w:r>
    </w:p>
    <w:p w14:paraId="12E2CBFC">
      <w:pPr>
        <w:spacing w:line="360" w:lineRule="auto"/>
        <w:ind w:firstLine="480" w:firstLineChars="200"/>
        <w:rPr>
          <w:rFonts w:hint="eastAsia"/>
          <w:lang w:val="en-US" w:eastAsia="zh-CN"/>
        </w:rPr>
      </w:pPr>
      <w:r>
        <w:rPr>
          <w:rFonts w:hint="eastAsia"/>
        </w:rPr>
        <w:t>（</w:t>
      </w:r>
      <w:r>
        <w:rPr>
          <w:rFonts w:hint="eastAsia"/>
          <w:lang w:val="en-US" w:eastAsia="zh-CN"/>
        </w:rPr>
        <w:t>5</w:t>
      </w:r>
      <w:r>
        <w:rPr>
          <w:rFonts w:hint="eastAsia"/>
        </w:rPr>
        <w:t>）技术</w:t>
      </w:r>
      <w:r>
        <w:rPr>
          <w:rFonts w:hint="eastAsia"/>
          <w:lang w:val="en-US" w:eastAsia="zh-CN"/>
        </w:rPr>
        <w:t>方案</w:t>
      </w:r>
      <w:r>
        <w:rPr>
          <w:rFonts w:hint="eastAsia"/>
        </w:rPr>
        <w:t>：</w:t>
      </w:r>
      <w:r>
        <w:rPr>
          <w:rFonts w:hint="eastAsia"/>
          <w:lang w:val="en-US" w:eastAsia="zh-CN"/>
        </w:rPr>
        <w:t>包含</w:t>
      </w:r>
      <w:r>
        <w:rPr>
          <w:rFonts w:hint="eastAsia"/>
        </w:rPr>
        <w:t>项目方案</w:t>
      </w:r>
      <w:r>
        <w:rPr>
          <w:rFonts w:hint="eastAsia"/>
          <w:lang w:eastAsia="zh-CN"/>
        </w:rPr>
        <w:t>、</w:t>
      </w:r>
      <w:r>
        <w:rPr>
          <w:rFonts w:hint="eastAsia"/>
        </w:rPr>
        <w:t>项目依据</w:t>
      </w:r>
      <w:r>
        <w:rPr>
          <w:rFonts w:hint="eastAsia"/>
          <w:lang w:eastAsia="zh-CN"/>
        </w:rPr>
        <w:t>、</w:t>
      </w:r>
      <w:r>
        <w:rPr>
          <w:rFonts w:hint="eastAsia"/>
        </w:rPr>
        <w:t>实施计划</w:t>
      </w:r>
      <w:r>
        <w:rPr>
          <w:rFonts w:hint="eastAsia"/>
          <w:lang w:eastAsia="zh-CN"/>
        </w:rPr>
        <w:t>、</w:t>
      </w:r>
      <w:r>
        <w:rPr>
          <w:rFonts w:hint="eastAsia"/>
        </w:rPr>
        <w:t>组织架构</w:t>
      </w:r>
      <w:r>
        <w:rPr>
          <w:rFonts w:hint="eastAsia"/>
          <w:lang w:eastAsia="zh-CN"/>
        </w:rPr>
        <w:t>、</w:t>
      </w:r>
      <w:r>
        <w:rPr>
          <w:rFonts w:hint="eastAsia"/>
        </w:rPr>
        <w:t>完成时限</w:t>
      </w:r>
      <w:r>
        <w:rPr>
          <w:rFonts w:hint="eastAsia"/>
          <w:lang w:eastAsia="zh-CN"/>
        </w:rPr>
        <w:t>、</w:t>
      </w:r>
      <w:r>
        <w:rPr>
          <w:rFonts w:hint="eastAsia"/>
        </w:rPr>
        <w:t>报告书大纲</w:t>
      </w:r>
      <w:r>
        <w:rPr>
          <w:rFonts w:hint="eastAsia"/>
          <w:lang w:eastAsia="zh-CN"/>
        </w:rPr>
        <w:t>、</w:t>
      </w:r>
      <w:r>
        <w:rPr>
          <w:rFonts w:hint="eastAsia"/>
        </w:rPr>
        <w:t>与用户之间</w:t>
      </w:r>
      <w:r>
        <w:rPr>
          <w:rFonts w:hint="eastAsia"/>
          <w:lang w:val="en-US" w:eastAsia="zh-CN"/>
        </w:rPr>
        <w:t>的协调机制等。</w:t>
      </w:r>
    </w:p>
    <w:p w14:paraId="1FEC0DCA">
      <w:pPr>
        <w:spacing w:line="360" w:lineRule="auto"/>
        <w:ind w:firstLine="480" w:firstLineChars="200"/>
        <w:rPr>
          <w:rFonts w:hint="eastAsia"/>
        </w:rPr>
      </w:pPr>
      <w:r>
        <w:rPr>
          <w:rFonts w:hint="eastAsia"/>
          <w:lang w:val="en-US" w:eastAsia="zh-CN"/>
        </w:rPr>
        <w:t>（6）设备配置，提供投入本项目的设备清单、照片、设备购置发票复印件，加盖投标人公章</w:t>
      </w:r>
      <w:r>
        <w:rPr>
          <w:rFonts w:hint="eastAsia"/>
        </w:rPr>
        <w:t>。</w:t>
      </w:r>
    </w:p>
    <w:p w14:paraId="5CBF544F">
      <w:pPr>
        <w:spacing w:line="360" w:lineRule="auto"/>
        <w:ind w:firstLine="480" w:firstLineChars="200"/>
        <w:rPr>
          <w:rFonts w:hint="eastAsia"/>
          <w:lang w:eastAsia="zh-CN"/>
        </w:rPr>
      </w:pPr>
      <w:r>
        <w:rPr>
          <w:rFonts w:hint="eastAsia"/>
        </w:rPr>
        <w:t>（</w:t>
      </w:r>
      <w:r>
        <w:rPr>
          <w:rFonts w:hint="eastAsia"/>
          <w:lang w:val="en-US" w:eastAsia="zh-CN"/>
        </w:rPr>
        <w:t>7</w:t>
      </w:r>
      <w:r>
        <w:rPr>
          <w:rFonts w:hint="eastAsia"/>
        </w:rPr>
        <w:t>）</w:t>
      </w:r>
      <w:r>
        <w:rPr>
          <w:rFonts w:hint="eastAsia"/>
          <w:lang w:val="en-US" w:eastAsia="zh-CN"/>
        </w:rPr>
        <w:t>人员配备</w:t>
      </w:r>
      <w:r>
        <w:rPr>
          <w:rFonts w:hint="eastAsia"/>
        </w:rPr>
        <w:t>，</w:t>
      </w:r>
      <w:r>
        <w:rPr>
          <w:rFonts w:hint="eastAsia"/>
          <w:lang w:val="en-US" w:eastAsia="zh-CN"/>
        </w:rPr>
        <w:t>提供投入本项目的人员配备，具体</w:t>
      </w:r>
      <w:r>
        <w:rPr>
          <w:rFonts w:hint="eastAsia"/>
        </w:rPr>
        <w:t>参照评分办法</w:t>
      </w:r>
      <w:r>
        <w:rPr>
          <w:rFonts w:hint="eastAsia"/>
          <w:lang w:eastAsia="zh-CN"/>
        </w:rPr>
        <w:t>。</w:t>
      </w:r>
    </w:p>
    <w:p w14:paraId="4A46B78F">
      <w:pPr>
        <w:spacing w:line="360" w:lineRule="auto"/>
        <w:ind w:firstLine="480" w:firstLineChars="200"/>
        <w:rPr>
          <w:rFonts w:hint="default"/>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服务承诺。</w:t>
      </w:r>
    </w:p>
    <w:p w14:paraId="5B85220A">
      <w:pPr>
        <w:spacing w:line="360" w:lineRule="auto"/>
        <w:ind w:firstLine="480" w:firstLineChars="200"/>
        <w:rPr>
          <w:rFonts w:hint="eastAsia"/>
        </w:rPr>
      </w:pPr>
      <w:r>
        <w:rPr>
          <w:rFonts w:hint="eastAsia"/>
        </w:rPr>
        <w:t>（</w:t>
      </w:r>
      <w:r>
        <w:rPr>
          <w:rFonts w:hint="eastAsia"/>
          <w:lang w:val="en-US" w:eastAsia="zh-CN"/>
        </w:rPr>
        <w:t>9</w:t>
      </w:r>
      <w:r>
        <w:rPr>
          <w:rFonts w:hint="eastAsia"/>
        </w:rPr>
        <w:t>）</w:t>
      </w:r>
      <w:r>
        <w:rPr>
          <w:rFonts w:hint="eastAsia" w:ascii="宋体" w:hAnsi="宋体"/>
        </w:rPr>
        <w:t>其他可以证明供应商能力或业绩的材料，具体参照评分办法。</w:t>
      </w:r>
    </w:p>
    <w:p w14:paraId="22D3A6EA">
      <w:pPr>
        <w:spacing w:line="360" w:lineRule="auto"/>
        <w:ind w:firstLine="480" w:firstLineChars="200"/>
      </w:pPr>
      <w:r>
        <w:rPr>
          <w:rFonts w:hint="eastAsia"/>
        </w:rPr>
        <w:t>注：供应商须按以上要求提供资料。</w:t>
      </w:r>
    </w:p>
    <w:p w14:paraId="1826721A">
      <w:pPr>
        <w:spacing w:line="360" w:lineRule="auto"/>
        <w:ind w:firstLine="480" w:firstLineChars="200"/>
        <w:rPr>
          <w:rFonts w:ascii="宋体" w:hAnsi="宋体"/>
          <w:szCs w:val="21"/>
        </w:rPr>
      </w:pPr>
      <w:r>
        <w:rPr>
          <w:rFonts w:hint="eastAsia"/>
        </w:rPr>
        <w:t>2、按要求装订成册。包装袋内装正本壹份，副本肆份</w:t>
      </w:r>
      <w:r>
        <w:rPr>
          <w:rFonts w:hint="eastAsia" w:ascii="宋体" w:hAnsi="宋体"/>
        </w:rPr>
        <w:t>。</w:t>
      </w:r>
      <w:r>
        <w:rPr>
          <w:rFonts w:hint="eastAsia" w:ascii="宋体" w:hAnsi="宋体"/>
          <w:szCs w:val="21"/>
        </w:rPr>
        <w:t>外层包封应写明采购项目名称、采购编号、供应商名称、法定代表人签字或加盖法定代表人印鉴、供应商公章，包封的粘缝全都用封签密封并加盖单位公章和法人代表名章。</w:t>
      </w:r>
    </w:p>
    <w:p w14:paraId="615CEFE0">
      <w:pPr>
        <w:spacing w:line="360" w:lineRule="auto"/>
        <w:ind w:firstLine="480" w:firstLineChars="200"/>
        <w:rPr>
          <w:rFonts w:ascii="宋体" w:hAnsi="宋体"/>
          <w:szCs w:val="21"/>
        </w:rPr>
      </w:pPr>
      <w:r>
        <w:rPr>
          <w:rFonts w:hint="eastAsia" w:ascii="宋体" w:hAnsi="宋体"/>
        </w:rPr>
        <w:t>3、响应文件统一使用国际标准A4型(210×297mm)公文用纸制作</w:t>
      </w:r>
      <w:r>
        <w:rPr>
          <w:rFonts w:hint="eastAsia" w:ascii="宋体" w:hAnsi="宋体"/>
          <w:szCs w:val="21"/>
        </w:rPr>
        <w:t>，响应文件内应有“正本”和“副本”标志，如正本与副本有差异，以正本为准。</w:t>
      </w:r>
    </w:p>
    <w:p w14:paraId="06B44BD6">
      <w:pPr>
        <w:pStyle w:val="13"/>
        <w:ind w:left="1440"/>
      </w:pPr>
    </w:p>
    <w:p w14:paraId="6C3807FD">
      <w:pPr>
        <w:spacing w:line="360" w:lineRule="auto"/>
        <w:ind w:firstLine="480"/>
        <w:rPr>
          <w:b/>
        </w:rPr>
      </w:pPr>
      <w:r>
        <w:rPr>
          <w:rFonts w:hint="eastAsia"/>
          <w:b/>
        </w:rPr>
        <w:t>五、响应文件的递交</w:t>
      </w:r>
    </w:p>
    <w:p w14:paraId="17CDD60A">
      <w:pPr>
        <w:spacing w:line="360" w:lineRule="auto"/>
        <w:ind w:firstLine="480" w:firstLineChars="200"/>
        <w:rPr>
          <w:rFonts w:ascii="宋体" w:hAnsi="宋体"/>
        </w:rPr>
      </w:pPr>
      <w:r>
        <w:rPr>
          <w:rFonts w:hint="eastAsia" w:ascii="宋体" w:hAnsi="宋体"/>
        </w:rPr>
        <w:t>1、响应人应将响应文件装订并密封，密封最外层标明响应项目名称、响应人名称并加盖骑缝章。</w:t>
      </w:r>
    </w:p>
    <w:p w14:paraId="4F1F707C">
      <w:pPr>
        <w:spacing w:line="360" w:lineRule="auto"/>
        <w:ind w:firstLine="480" w:firstLineChars="200"/>
        <w:rPr>
          <w:rFonts w:ascii="宋体" w:hAnsi="宋体"/>
        </w:rPr>
      </w:pPr>
      <w:r>
        <w:rPr>
          <w:rFonts w:hint="eastAsia" w:ascii="宋体" w:hAnsi="宋体"/>
        </w:rPr>
        <w:t>2、响应文件在指定时间内送达采购人。</w:t>
      </w:r>
    </w:p>
    <w:p w14:paraId="02147B2A">
      <w:pPr>
        <w:spacing w:line="360" w:lineRule="auto"/>
        <w:ind w:firstLine="480" w:firstLineChars="200"/>
        <w:rPr>
          <w:rFonts w:ascii="宋体" w:hAnsi="宋体"/>
        </w:rPr>
      </w:pPr>
      <w:r>
        <w:rPr>
          <w:rFonts w:hint="eastAsia" w:ascii="宋体" w:hAnsi="宋体"/>
        </w:rPr>
        <w:t>3、响应文件统一接收时间： 202</w:t>
      </w:r>
      <w:r>
        <w:rPr>
          <w:rFonts w:hint="eastAsia" w:ascii="宋体" w:hAnsi="宋体"/>
          <w:lang w:val="en-US" w:eastAsia="zh-CN"/>
        </w:rPr>
        <w:t>4</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02</w:t>
      </w:r>
      <w:r>
        <w:rPr>
          <w:rFonts w:hint="eastAsia" w:ascii="宋体" w:hAnsi="宋体"/>
        </w:rPr>
        <w:t>日10：</w:t>
      </w:r>
      <w:r>
        <w:rPr>
          <w:rFonts w:hint="eastAsia" w:ascii="宋体" w:hAnsi="宋体"/>
          <w:lang w:val="en-US" w:eastAsia="zh-CN"/>
        </w:rPr>
        <w:t>0</w:t>
      </w:r>
      <w:r>
        <w:rPr>
          <w:rFonts w:hint="eastAsia" w:ascii="宋体" w:hAnsi="宋体"/>
        </w:rPr>
        <w:t>0。</w:t>
      </w:r>
    </w:p>
    <w:p w14:paraId="292E0D94">
      <w:pPr>
        <w:spacing w:line="360" w:lineRule="auto"/>
        <w:ind w:firstLine="480" w:firstLineChars="200"/>
        <w:rPr>
          <w:rFonts w:ascii="宋体" w:hAnsi="宋体"/>
        </w:rPr>
      </w:pPr>
      <w:r>
        <w:rPr>
          <w:rFonts w:hint="eastAsia" w:ascii="宋体" w:hAnsi="宋体"/>
        </w:rPr>
        <w:t>4、送达地点：仙林大道138号南京中医药大学</w:t>
      </w:r>
      <w:r>
        <w:rPr>
          <w:rFonts w:hint="eastAsia" w:ascii="宋体" w:hAnsi="宋体"/>
          <w:lang w:eastAsia="zh-CN"/>
        </w:rPr>
        <w:t>东苑</w:t>
      </w:r>
      <w:r>
        <w:rPr>
          <w:rFonts w:hint="eastAsia" w:ascii="宋体" w:hAnsi="宋体"/>
        </w:rPr>
        <w:t>11</w:t>
      </w:r>
      <w:r>
        <w:rPr>
          <w:rFonts w:hint="eastAsia" w:ascii="宋体" w:hAnsi="宋体"/>
          <w:lang w:val="en-US" w:eastAsia="zh-CN"/>
        </w:rPr>
        <w:t>0</w:t>
      </w:r>
      <w:r>
        <w:rPr>
          <w:rFonts w:hint="eastAsia" w:ascii="宋体" w:hAnsi="宋体"/>
        </w:rPr>
        <w:t>室。</w:t>
      </w:r>
    </w:p>
    <w:p w14:paraId="3E754BCB">
      <w:pPr>
        <w:spacing w:line="360" w:lineRule="auto"/>
        <w:ind w:firstLine="480" w:firstLineChars="200"/>
        <w:rPr>
          <w:rFonts w:ascii="宋体" w:hAnsi="宋体"/>
        </w:rPr>
      </w:pPr>
      <w:r>
        <w:rPr>
          <w:rFonts w:hint="eastAsia" w:ascii="宋体" w:hAnsi="宋体"/>
        </w:rPr>
        <w:t>5、联系电话：025-85811</w:t>
      </w:r>
      <w:r>
        <w:rPr>
          <w:rFonts w:hint="eastAsia" w:ascii="宋体" w:hAnsi="宋体"/>
          <w:lang w:val="en-US" w:eastAsia="zh-CN"/>
        </w:rPr>
        <w:t>631</w:t>
      </w:r>
      <w:bookmarkStart w:id="5" w:name="_GoBack"/>
      <w:bookmarkEnd w:id="5"/>
      <w:r>
        <w:rPr>
          <w:rFonts w:hint="eastAsia" w:ascii="宋体" w:hAnsi="宋体"/>
        </w:rPr>
        <w:t>。</w:t>
      </w:r>
    </w:p>
    <w:p w14:paraId="2CFBD8BF">
      <w:pPr>
        <w:pStyle w:val="6"/>
        <w:ind w:left="1680" w:right="1680"/>
      </w:pPr>
    </w:p>
    <w:p w14:paraId="12581153">
      <w:pPr>
        <w:spacing w:line="360" w:lineRule="auto"/>
        <w:ind w:firstLine="482" w:firstLineChars="200"/>
        <w:rPr>
          <w:b/>
        </w:rPr>
      </w:pPr>
      <w:r>
        <w:rPr>
          <w:rFonts w:hint="eastAsia"/>
          <w:b/>
        </w:rPr>
        <w:t>六、响应文件的评议</w:t>
      </w:r>
    </w:p>
    <w:p w14:paraId="07B14D06">
      <w:pPr>
        <w:spacing w:line="360" w:lineRule="auto"/>
        <w:ind w:firstLine="480" w:firstLineChars="200"/>
      </w:pPr>
      <w:r>
        <w:t>1</w:t>
      </w:r>
      <w:r>
        <w:rPr>
          <w:rFonts w:hint="eastAsia"/>
        </w:rPr>
        <w:t>、在响应文件递交截止时间内没有送达的响应文件和有与采购文件要求不符的响应文件在评议时不予考虑。</w:t>
      </w:r>
    </w:p>
    <w:p w14:paraId="4E26DB14">
      <w:pPr>
        <w:spacing w:line="360" w:lineRule="auto"/>
        <w:ind w:firstLine="480" w:firstLineChars="200"/>
      </w:pPr>
      <w:r>
        <w:t>2</w:t>
      </w:r>
      <w:r>
        <w:rPr>
          <w:rFonts w:hint="eastAsia"/>
        </w:rPr>
        <w:t>、响应文件的关键内容字迹模糊、无法辨认的在评议时不予考虑。</w:t>
      </w:r>
    </w:p>
    <w:p w14:paraId="11098837">
      <w:pPr>
        <w:spacing w:line="360" w:lineRule="auto"/>
        <w:ind w:firstLine="480" w:firstLineChars="200"/>
        <w:rPr>
          <w:rFonts w:ascii="宋体" w:hAnsi="宋体" w:cs="宋体"/>
          <w:kern w:val="0"/>
        </w:rPr>
      </w:pPr>
      <w:r>
        <w:t>3</w:t>
      </w:r>
      <w:r>
        <w:rPr>
          <w:rFonts w:hint="eastAsia"/>
        </w:rPr>
        <w:t>、本项目采用综合评分法，</w:t>
      </w:r>
      <w:r>
        <w:rPr>
          <w:rFonts w:hint="eastAsia" w:ascii="宋体" w:hAnsi="宋体" w:cs="宋体"/>
        </w:rPr>
        <w:t>评委根据供应商的报价、</w:t>
      </w:r>
      <w:r>
        <w:rPr>
          <w:rFonts w:hint="eastAsia" w:ascii="宋体" w:hAnsi="宋体" w:cs="宋体"/>
          <w:lang w:val="en-US" w:eastAsia="zh-CN"/>
        </w:rPr>
        <w:t>技术</w:t>
      </w:r>
      <w:r>
        <w:rPr>
          <w:rFonts w:hint="eastAsia" w:ascii="宋体" w:hAnsi="宋体" w:cs="宋体"/>
        </w:rPr>
        <w:t>方案、</w:t>
      </w:r>
      <w:r>
        <w:rPr>
          <w:rFonts w:hint="eastAsia" w:ascii="宋体" w:hAnsi="宋体" w:cs="宋体"/>
          <w:lang w:val="en-US" w:eastAsia="zh-CN"/>
        </w:rPr>
        <w:t>设备配置、</w:t>
      </w:r>
      <w:r>
        <w:rPr>
          <w:rFonts w:hint="eastAsia" w:ascii="宋体" w:hAnsi="宋体" w:cs="宋体"/>
        </w:rPr>
        <w:t>人员配备、服务承诺、</w:t>
      </w:r>
      <w:r>
        <w:rPr>
          <w:rFonts w:hint="eastAsia" w:ascii="宋体" w:hAnsi="宋体" w:cs="宋体"/>
          <w:lang w:val="en-US" w:eastAsia="zh-CN"/>
        </w:rPr>
        <w:t>业绩</w:t>
      </w:r>
      <w:r>
        <w:rPr>
          <w:rFonts w:hint="eastAsia" w:ascii="宋体" w:hAnsi="宋体" w:cs="宋体"/>
        </w:rPr>
        <w:t>等方面进行综合评议。</w:t>
      </w:r>
      <w:r>
        <w:rPr>
          <w:rFonts w:ascii="宋体" w:hAnsi="宋体" w:cs="宋体"/>
          <w:kern w:val="0"/>
        </w:rPr>
        <w:t>总分为100分，</w:t>
      </w:r>
      <w:r>
        <w:rPr>
          <w:rFonts w:hint="eastAsia" w:ascii="宋体" w:hAnsi="宋体"/>
        </w:rPr>
        <w:t>按评审后得分由高到低顺序排列，得分相同的，按响应报价由低到高顺序排列</w:t>
      </w:r>
      <w:r>
        <w:rPr>
          <w:rFonts w:ascii="宋体" w:hAnsi="宋体" w:cs="宋体"/>
          <w:kern w:val="0"/>
        </w:rPr>
        <w:t>，由评标委员会确定中标供应商。具体打分方法如下：</w:t>
      </w:r>
    </w:p>
    <w:tbl>
      <w:tblPr>
        <w:tblStyle w:val="11"/>
        <w:tblW w:w="834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6750"/>
      </w:tblGrid>
      <w:tr w14:paraId="6AE3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91" w:type="dxa"/>
            <w:tcBorders>
              <w:top w:val="single" w:color="auto" w:sz="4" w:space="0"/>
              <w:left w:val="single" w:color="auto" w:sz="4" w:space="0"/>
              <w:bottom w:val="single" w:color="auto" w:sz="4" w:space="0"/>
              <w:right w:val="single" w:color="auto" w:sz="4" w:space="0"/>
            </w:tcBorders>
            <w:vAlign w:val="center"/>
          </w:tcPr>
          <w:p w14:paraId="511D6A7B">
            <w:pPr>
              <w:spacing w:line="360" w:lineRule="auto"/>
              <w:jc w:val="center"/>
              <w:rPr>
                <w:rFonts w:hint="eastAsia" w:ascii="宋体" w:hAnsi="宋体"/>
                <w:kern w:val="0"/>
                <w:sz w:val="21"/>
                <w:szCs w:val="21"/>
              </w:rPr>
            </w:pPr>
            <w:r>
              <w:rPr>
                <w:rFonts w:hint="eastAsia" w:ascii="宋体" w:hAnsi="宋体"/>
                <w:kern w:val="0"/>
                <w:sz w:val="21"/>
                <w:szCs w:val="21"/>
                <w:lang w:val="en-US" w:eastAsia="zh-CN"/>
              </w:rPr>
              <w:t>报价</w:t>
            </w:r>
            <w:r>
              <w:rPr>
                <w:rFonts w:hint="eastAsia" w:ascii="宋体" w:hAnsi="宋体"/>
                <w:kern w:val="0"/>
                <w:sz w:val="21"/>
                <w:szCs w:val="21"/>
              </w:rPr>
              <w:t>(</w:t>
            </w:r>
            <w:r>
              <w:rPr>
                <w:rFonts w:hint="eastAsia" w:ascii="宋体" w:hAnsi="宋体"/>
                <w:kern w:val="0"/>
                <w:sz w:val="21"/>
                <w:szCs w:val="21"/>
                <w:lang w:val="en-US" w:eastAsia="zh-CN"/>
              </w:rPr>
              <w:t>5</w:t>
            </w:r>
            <w:r>
              <w:rPr>
                <w:rFonts w:ascii="宋体" w:hAnsi="宋体"/>
                <w:kern w:val="0"/>
                <w:sz w:val="21"/>
                <w:szCs w:val="21"/>
              </w:rPr>
              <w:t>0</w:t>
            </w:r>
            <w:r>
              <w:rPr>
                <w:rFonts w:hint="eastAsia" w:ascii="宋体" w:hAnsi="宋体"/>
                <w:kern w:val="0"/>
                <w:sz w:val="21"/>
                <w:szCs w:val="21"/>
              </w:rPr>
              <w:t>分)</w:t>
            </w:r>
          </w:p>
        </w:tc>
        <w:tc>
          <w:tcPr>
            <w:tcW w:w="6750" w:type="dxa"/>
            <w:tcBorders>
              <w:top w:val="single" w:color="auto" w:sz="4" w:space="0"/>
              <w:left w:val="single" w:color="auto" w:sz="4" w:space="0"/>
              <w:bottom w:val="single" w:color="auto" w:sz="4" w:space="0"/>
              <w:right w:val="single" w:color="auto" w:sz="4" w:space="0"/>
            </w:tcBorders>
            <w:vAlign w:val="center"/>
          </w:tcPr>
          <w:p w14:paraId="5D297A6B">
            <w:pPr>
              <w:spacing w:line="360" w:lineRule="auto"/>
              <w:rPr>
                <w:rFonts w:hint="eastAsia" w:ascii="宋体" w:hAnsi="宋体" w:eastAsia="宋体" w:cs="Times New Roman"/>
                <w:kern w:val="0"/>
                <w:sz w:val="21"/>
                <w:szCs w:val="21"/>
              </w:rPr>
            </w:pPr>
            <w:r>
              <w:rPr>
                <w:rFonts w:hint="eastAsia" w:ascii="宋体" w:hAnsi="宋体" w:eastAsia="宋体" w:cs="Times New Roman"/>
                <w:kern w:val="0"/>
                <w:sz w:val="21"/>
                <w:szCs w:val="21"/>
              </w:rPr>
              <w:t>满足采购文件要求且价格最低的报价为评审基准价，其价格分为</w:t>
            </w:r>
            <w:r>
              <w:rPr>
                <w:rFonts w:hint="eastAsia" w:ascii="宋体" w:hAnsi="宋体" w:cs="Times New Roman"/>
                <w:kern w:val="0"/>
                <w:sz w:val="21"/>
                <w:szCs w:val="21"/>
                <w:lang w:val="en-US" w:eastAsia="zh-CN"/>
              </w:rPr>
              <w:t>5</w:t>
            </w:r>
            <w:r>
              <w:rPr>
                <w:rFonts w:hint="eastAsia" w:ascii="宋体" w:hAnsi="宋体" w:eastAsia="宋体" w:cs="Times New Roman"/>
                <w:kern w:val="0"/>
                <w:sz w:val="21"/>
                <w:szCs w:val="21"/>
              </w:rPr>
              <w:t>0分。其他供应商的价格分统一按照下列公式计算：报价得分=(评审基准价／报价)×</w:t>
            </w:r>
            <w:r>
              <w:rPr>
                <w:rFonts w:hint="eastAsia" w:ascii="宋体" w:hAnsi="宋体" w:cs="Times New Roman"/>
                <w:kern w:val="0"/>
                <w:sz w:val="21"/>
                <w:szCs w:val="21"/>
                <w:lang w:val="en-US" w:eastAsia="zh-CN"/>
              </w:rPr>
              <w:t>5</w:t>
            </w:r>
            <w:r>
              <w:rPr>
                <w:rFonts w:hint="eastAsia" w:ascii="宋体" w:hAnsi="宋体" w:eastAsia="宋体" w:cs="Times New Roman"/>
                <w:kern w:val="0"/>
                <w:sz w:val="21"/>
                <w:szCs w:val="21"/>
              </w:rPr>
              <w:t>0</w:t>
            </w:r>
          </w:p>
        </w:tc>
      </w:tr>
      <w:tr w14:paraId="35D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91" w:type="dxa"/>
            <w:tcBorders>
              <w:top w:val="single" w:color="auto" w:sz="4" w:space="0"/>
              <w:left w:val="single" w:color="auto" w:sz="4" w:space="0"/>
              <w:bottom w:val="single" w:color="auto" w:sz="4" w:space="0"/>
              <w:right w:val="single" w:color="auto" w:sz="4" w:space="0"/>
            </w:tcBorders>
            <w:vAlign w:val="center"/>
          </w:tcPr>
          <w:p w14:paraId="08105622">
            <w:pPr>
              <w:spacing w:line="360" w:lineRule="auto"/>
              <w:jc w:val="center"/>
              <w:rPr>
                <w:rFonts w:hint="eastAsia" w:ascii="宋体" w:hAnsi="宋体"/>
                <w:kern w:val="0"/>
                <w:sz w:val="21"/>
                <w:szCs w:val="21"/>
              </w:rPr>
            </w:pPr>
            <w:r>
              <w:rPr>
                <w:rFonts w:hint="eastAsia" w:ascii="宋体" w:hAnsi="宋体"/>
                <w:kern w:val="0"/>
                <w:sz w:val="21"/>
                <w:szCs w:val="21"/>
                <w:lang w:val="en-US" w:eastAsia="zh-CN"/>
              </w:rPr>
              <w:t>技术</w:t>
            </w:r>
            <w:r>
              <w:rPr>
                <w:rFonts w:hint="eastAsia" w:ascii="宋体" w:hAnsi="宋体"/>
                <w:kern w:val="0"/>
                <w:sz w:val="21"/>
                <w:szCs w:val="21"/>
              </w:rPr>
              <w:t>方案</w:t>
            </w:r>
          </w:p>
          <w:p w14:paraId="68B38105">
            <w:pPr>
              <w:spacing w:line="360" w:lineRule="auto"/>
              <w:jc w:val="center"/>
              <w:rPr>
                <w:rFonts w:hint="eastAsia" w:ascii="宋体" w:hAnsi="宋体"/>
                <w:kern w:val="0"/>
                <w:sz w:val="21"/>
                <w:szCs w:val="21"/>
              </w:rPr>
            </w:pPr>
            <w:r>
              <w:rPr>
                <w:rFonts w:hint="eastAsia" w:ascii="宋体" w:hAnsi="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20</w:t>
            </w:r>
            <w:r>
              <w:rPr>
                <w:rFonts w:hint="eastAsia" w:ascii="宋体" w:hAnsi="宋体"/>
                <w:color w:val="000000" w:themeColor="text1"/>
                <w:kern w:val="0"/>
                <w:sz w:val="21"/>
                <w:szCs w:val="21"/>
                <w14:textFill>
                  <w14:solidFill>
                    <w14:schemeClr w14:val="tx1"/>
                  </w14:solidFill>
                </w14:textFill>
              </w:rPr>
              <w:t>分</w:t>
            </w:r>
            <w:r>
              <w:rPr>
                <w:rFonts w:hint="eastAsia" w:ascii="宋体" w:hAnsi="宋体"/>
                <w:color w:val="auto"/>
                <w:kern w:val="0"/>
                <w:sz w:val="21"/>
                <w:szCs w:val="21"/>
              </w:rPr>
              <w:t>）</w:t>
            </w:r>
          </w:p>
        </w:tc>
        <w:tc>
          <w:tcPr>
            <w:tcW w:w="6750" w:type="dxa"/>
            <w:tcBorders>
              <w:top w:val="single" w:color="auto" w:sz="4" w:space="0"/>
              <w:left w:val="single" w:color="auto" w:sz="4" w:space="0"/>
              <w:bottom w:val="single" w:color="auto" w:sz="4" w:space="0"/>
              <w:right w:val="single" w:color="auto" w:sz="4" w:space="0"/>
            </w:tcBorders>
            <w:vAlign w:val="center"/>
          </w:tcPr>
          <w:p w14:paraId="384268A5">
            <w:pPr>
              <w:spacing w:line="360" w:lineRule="auto"/>
              <w:rPr>
                <w:rFonts w:hint="eastAsia" w:ascii="宋体" w:hAnsi="宋体" w:eastAsia="宋体" w:cs="Times New Roman"/>
                <w:kern w:val="0"/>
                <w:sz w:val="21"/>
                <w:szCs w:val="21"/>
              </w:rPr>
            </w:pPr>
            <w:r>
              <w:rPr>
                <w:rFonts w:hint="eastAsia" w:ascii="宋体" w:hAnsi="宋体" w:eastAsia="宋体" w:cs="Times New Roman"/>
                <w:kern w:val="0"/>
                <w:sz w:val="21"/>
                <w:szCs w:val="21"/>
              </w:rPr>
              <w:t>由评委根据投标单位所提供的服务方案、工作程序及细则等进行打分，具体打分如下：</w:t>
            </w:r>
            <w:r>
              <w:rPr>
                <w:rFonts w:hint="eastAsia" w:ascii="宋体" w:hAnsi="宋体" w:eastAsia="宋体" w:cs="Times New Roman"/>
                <w:kern w:val="0"/>
                <w:sz w:val="21"/>
                <w:szCs w:val="21"/>
                <w:lang w:val="en-US"/>
              </w:rPr>
              <w:t>优</w:t>
            </w:r>
            <w:r>
              <w:rPr>
                <w:rFonts w:hint="eastAsia" w:ascii="宋体" w:hAnsi="宋体" w:eastAsia="宋体" w:cs="Times New Roman"/>
                <w:kern w:val="0"/>
                <w:sz w:val="21"/>
                <w:szCs w:val="21"/>
                <w:lang w:val="en-US" w:eastAsia="zh-CN"/>
              </w:rPr>
              <w:t>得</w:t>
            </w:r>
            <w:r>
              <w:rPr>
                <w:rFonts w:hint="eastAsia" w:ascii="宋体" w:hAnsi="宋体" w:cs="Times New Roman"/>
                <w:kern w:val="0"/>
                <w:sz w:val="21"/>
                <w:szCs w:val="21"/>
                <w:lang w:val="en-US" w:eastAsia="zh-CN"/>
              </w:rPr>
              <w:t>20</w:t>
            </w:r>
            <w:r>
              <w:rPr>
                <w:rFonts w:hint="eastAsia" w:ascii="宋体" w:hAnsi="宋体" w:eastAsia="宋体" w:cs="Times New Roman"/>
                <w:kern w:val="0"/>
                <w:sz w:val="21"/>
                <w:szCs w:val="21"/>
                <w:lang w:val="en-US" w:eastAsia="zh-CN"/>
              </w:rPr>
              <w:t>分，</w:t>
            </w:r>
            <w:r>
              <w:rPr>
                <w:rFonts w:hint="eastAsia" w:ascii="宋体" w:hAnsi="宋体" w:eastAsia="宋体" w:cs="Times New Roman"/>
                <w:kern w:val="0"/>
                <w:sz w:val="21"/>
                <w:szCs w:val="21"/>
                <w:lang w:val="en-US"/>
              </w:rPr>
              <w:t>良</w:t>
            </w:r>
            <w:r>
              <w:rPr>
                <w:rFonts w:hint="eastAsia" w:ascii="宋体" w:hAnsi="宋体" w:eastAsia="宋体" w:cs="Times New Roman"/>
                <w:kern w:val="0"/>
                <w:sz w:val="21"/>
                <w:szCs w:val="21"/>
                <w:lang w:val="en-US" w:eastAsia="zh-CN"/>
              </w:rPr>
              <w:t>得</w:t>
            </w:r>
            <w:r>
              <w:rPr>
                <w:rFonts w:hint="eastAsia" w:ascii="宋体" w:hAnsi="宋体" w:cs="Times New Roman"/>
                <w:kern w:val="0"/>
                <w:sz w:val="21"/>
                <w:szCs w:val="21"/>
                <w:lang w:val="en-US" w:eastAsia="zh-CN"/>
              </w:rPr>
              <w:t>15</w:t>
            </w:r>
            <w:r>
              <w:rPr>
                <w:rFonts w:hint="eastAsia" w:ascii="宋体" w:hAnsi="宋体" w:eastAsia="宋体" w:cs="Times New Roman"/>
                <w:kern w:val="0"/>
                <w:sz w:val="21"/>
                <w:szCs w:val="21"/>
                <w:lang w:val="en-US"/>
              </w:rPr>
              <w:t>分</w:t>
            </w:r>
            <w:r>
              <w:rPr>
                <w:rFonts w:hint="eastAsia" w:ascii="宋体" w:hAnsi="宋体" w:eastAsia="宋体" w:cs="Times New Roman"/>
                <w:kern w:val="0"/>
                <w:sz w:val="21"/>
                <w:szCs w:val="21"/>
                <w:lang w:val="en-US" w:eastAsia="zh-CN"/>
              </w:rPr>
              <w:t>，</w:t>
            </w:r>
            <w:r>
              <w:rPr>
                <w:rFonts w:hint="eastAsia" w:ascii="宋体" w:hAnsi="宋体" w:cs="Times New Roman"/>
                <w:kern w:val="0"/>
                <w:sz w:val="21"/>
                <w:szCs w:val="21"/>
                <w:lang w:val="en-US" w:eastAsia="zh-CN"/>
              </w:rPr>
              <w:t>一般得10分，差得5分</w:t>
            </w:r>
            <w:r>
              <w:rPr>
                <w:rFonts w:hint="eastAsia" w:ascii="宋体" w:hAnsi="宋体" w:eastAsia="宋体" w:cs="Times New Roman"/>
                <w:kern w:val="0"/>
                <w:sz w:val="21"/>
                <w:szCs w:val="21"/>
                <w:lang w:val="en-US" w:eastAsia="zh-CN"/>
              </w:rPr>
              <w:t>，不提供者不得分</w:t>
            </w:r>
            <w:r>
              <w:rPr>
                <w:rFonts w:hint="eastAsia" w:ascii="宋体" w:hAnsi="宋体" w:eastAsia="宋体" w:cs="Times New Roman"/>
                <w:kern w:val="0"/>
                <w:sz w:val="21"/>
                <w:szCs w:val="21"/>
              </w:rPr>
              <w:t>。</w:t>
            </w:r>
          </w:p>
        </w:tc>
      </w:tr>
      <w:tr w14:paraId="775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91" w:type="dxa"/>
            <w:tcBorders>
              <w:top w:val="single" w:color="auto" w:sz="4" w:space="0"/>
              <w:left w:val="single" w:color="auto" w:sz="4" w:space="0"/>
              <w:bottom w:val="single" w:color="auto" w:sz="4" w:space="0"/>
              <w:right w:val="single" w:color="auto" w:sz="4" w:space="0"/>
            </w:tcBorders>
            <w:vAlign w:val="center"/>
          </w:tcPr>
          <w:p w14:paraId="1EB97D89">
            <w:pPr>
              <w:spacing w:line="360" w:lineRule="auto"/>
              <w:jc w:val="center"/>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设备配置</w:t>
            </w:r>
          </w:p>
          <w:p w14:paraId="10609C9B">
            <w:pPr>
              <w:spacing w:line="360" w:lineRule="auto"/>
              <w:jc w:val="center"/>
              <w:rPr>
                <w:rFonts w:hint="default" w:ascii="宋体" w:hAnsi="宋体" w:eastAsia="宋体"/>
                <w:color w:val="auto"/>
                <w:kern w:val="0"/>
                <w:sz w:val="21"/>
                <w:szCs w:val="21"/>
                <w:lang w:val="en-US" w:eastAsia="zh-CN"/>
              </w:rPr>
            </w:pPr>
            <w:r>
              <w:rPr>
                <w:rFonts w:hint="eastAsia" w:ascii="宋体" w:hAnsi="宋体"/>
                <w:color w:val="auto"/>
                <w:kern w:val="0"/>
                <w:sz w:val="21"/>
                <w:szCs w:val="21"/>
                <w:lang w:val="en-US" w:eastAsia="zh-CN"/>
              </w:rPr>
              <w:t>（10分）</w:t>
            </w:r>
          </w:p>
        </w:tc>
        <w:tc>
          <w:tcPr>
            <w:tcW w:w="6750" w:type="dxa"/>
            <w:tcBorders>
              <w:top w:val="single" w:color="auto" w:sz="4" w:space="0"/>
              <w:left w:val="single" w:color="auto" w:sz="4" w:space="0"/>
              <w:bottom w:val="single" w:color="auto" w:sz="4" w:space="0"/>
              <w:right w:val="single" w:color="auto" w:sz="4" w:space="0"/>
            </w:tcBorders>
            <w:vAlign w:val="center"/>
          </w:tcPr>
          <w:p w14:paraId="678C88B6">
            <w:pPr>
              <w:spacing w:line="360" w:lineRule="auto"/>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根据投标单位投入本项目的设备配置的合理性综合评分。</w:t>
            </w:r>
          </w:p>
          <w:p w14:paraId="5C27DD31">
            <w:pPr>
              <w:spacing w:line="360" w:lineRule="auto"/>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配置不少于2台流量计，得4分；配置管线探测仪1台得3分；配置滤波捡漏仪</w:t>
            </w:r>
            <w:r>
              <w:rPr>
                <w:rFonts w:hint="eastAsia" w:ascii="宋体" w:hAnsi="宋体"/>
                <w:color w:val="auto"/>
                <w:kern w:val="0"/>
                <w:sz w:val="21"/>
                <w:szCs w:val="21"/>
              </w:rPr>
              <w:t>或听漏仪</w:t>
            </w:r>
            <w:r>
              <w:rPr>
                <w:rFonts w:hint="eastAsia" w:ascii="宋体" w:hAnsi="宋体" w:cs="Times New Roman"/>
                <w:color w:val="auto"/>
                <w:kern w:val="0"/>
                <w:sz w:val="21"/>
                <w:szCs w:val="21"/>
                <w:lang w:val="en-US" w:eastAsia="zh-CN"/>
              </w:rPr>
              <w:t>1台得3分。（须提供相关设备清单、照片、设备购置发票复印件，加盖投标人公章，未提供的不得分）</w:t>
            </w:r>
          </w:p>
        </w:tc>
      </w:tr>
      <w:tr w14:paraId="66C9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91" w:type="dxa"/>
            <w:tcBorders>
              <w:top w:val="single" w:color="auto" w:sz="4" w:space="0"/>
              <w:left w:val="single" w:color="auto" w:sz="4" w:space="0"/>
              <w:bottom w:val="single" w:color="auto" w:sz="4" w:space="0"/>
              <w:right w:val="single" w:color="auto" w:sz="4" w:space="0"/>
            </w:tcBorders>
            <w:vAlign w:val="center"/>
          </w:tcPr>
          <w:p w14:paraId="08ADD7DE">
            <w:pPr>
              <w:spacing w:line="360" w:lineRule="auto"/>
              <w:jc w:val="center"/>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人员配备</w:t>
            </w:r>
          </w:p>
          <w:p w14:paraId="04CD3F65">
            <w:pPr>
              <w:spacing w:line="360" w:lineRule="auto"/>
              <w:jc w:val="center"/>
              <w:rPr>
                <w:rFonts w:hint="default" w:ascii="宋体" w:hAnsi="宋体" w:eastAsia="宋体"/>
                <w:color w:val="auto"/>
                <w:kern w:val="0"/>
                <w:sz w:val="21"/>
                <w:szCs w:val="21"/>
                <w:lang w:val="en-US" w:eastAsia="zh-CN"/>
              </w:rPr>
            </w:pPr>
            <w:r>
              <w:rPr>
                <w:rFonts w:hint="eastAsia" w:ascii="宋体" w:hAnsi="宋体"/>
                <w:color w:val="auto"/>
                <w:kern w:val="0"/>
                <w:sz w:val="21"/>
                <w:szCs w:val="21"/>
                <w:lang w:val="en-US" w:eastAsia="zh-CN"/>
              </w:rPr>
              <w:t>（6分）</w:t>
            </w:r>
          </w:p>
        </w:tc>
        <w:tc>
          <w:tcPr>
            <w:tcW w:w="6750" w:type="dxa"/>
            <w:tcBorders>
              <w:top w:val="single" w:color="auto" w:sz="4" w:space="0"/>
              <w:left w:val="single" w:color="auto" w:sz="4" w:space="0"/>
              <w:bottom w:val="single" w:color="auto" w:sz="4" w:space="0"/>
              <w:right w:val="single" w:color="auto" w:sz="4" w:space="0"/>
            </w:tcBorders>
            <w:vAlign w:val="center"/>
          </w:tcPr>
          <w:p w14:paraId="00C7FA57">
            <w:pPr>
              <w:spacing w:line="360" w:lineRule="auto"/>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根据人员配备的合理性进行综合评分。</w:t>
            </w:r>
          </w:p>
          <w:p w14:paraId="342BAD0F">
            <w:pPr>
              <w:spacing w:line="360" w:lineRule="auto"/>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至少配置1名具有水平衡测试综合服务项目业绩的项目负责人，每增加1人，得2分，不超过6分；（需提供相关项目合同书复印件，项目负责人社保证明并加盖单位公章，未提供或者不满足条件不得分。）</w:t>
            </w:r>
          </w:p>
        </w:tc>
      </w:tr>
      <w:tr w14:paraId="1531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91" w:type="dxa"/>
            <w:tcBorders>
              <w:top w:val="single" w:color="auto" w:sz="4" w:space="0"/>
              <w:left w:val="single" w:color="auto" w:sz="4" w:space="0"/>
              <w:bottom w:val="single" w:color="auto" w:sz="4" w:space="0"/>
              <w:right w:val="single" w:color="auto" w:sz="4" w:space="0"/>
            </w:tcBorders>
            <w:vAlign w:val="center"/>
          </w:tcPr>
          <w:p w14:paraId="07EA4D11">
            <w:pPr>
              <w:spacing w:line="360" w:lineRule="auto"/>
              <w:jc w:val="center"/>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服务承诺</w:t>
            </w:r>
          </w:p>
          <w:p w14:paraId="628CAACE">
            <w:pPr>
              <w:spacing w:line="360" w:lineRule="auto"/>
              <w:jc w:val="center"/>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（9分）</w:t>
            </w:r>
          </w:p>
        </w:tc>
        <w:tc>
          <w:tcPr>
            <w:tcW w:w="6750" w:type="dxa"/>
            <w:tcBorders>
              <w:top w:val="single" w:color="auto" w:sz="4" w:space="0"/>
              <w:left w:val="single" w:color="auto" w:sz="4" w:space="0"/>
              <w:bottom w:val="single" w:color="auto" w:sz="4" w:space="0"/>
              <w:right w:val="single" w:color="auto" w:sz="4" w:space="0"/>
            </w:tcBorders>
            <w:vAlign w:val="center"/>
          </w:tcPr>
          <w:p w14:paraId="23284461">
            <w:pPr>
              <w:spacing w:line="360" w:lineRule="auto"/>
              <w:rPr>
                <w:rFonts w:hint="default"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根据投标单位提供的服务承诺给分，优得9分，良得6分，一般得3分，差得1分。不提供者不得分。</w:t>
            </w:r>
          </w:p>
        </w:tc>
      </w:tr>
      <w:tr w14:paraId="1C7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91" w:type="dxa"/>
            <w:tcBorders>
              <w:top w:val="single" w:color="auto" w:sz="4" w:space="0"/>
              <w:left w:val="single" w:color="auto" w:sz="4" w:space="0"/>
              <w:bottom w:val="single" w:color="auto" w:sz="4" w:space="0"/>
              <w:right w:val="single" w:color="auto" w:sz="4" w:space="0"/>
            </w:tcBorders>
            <w:vAlign w:val="center"/>
          </w:tcPr>
          <w:p w14:paraId="475465D2">
            <w:pPr>
              <w:spacing w:line="360" w:lineRule="auto"/>
              <w:jc w:val="center"/>
              <w:rPr>
                <w:rFonts w:hint="eastAsia" w:ascii="宋体" w:hAnsi="宋体"/>
                <w:color w:val="auto"/>
                <w:kern w:val="0"/>
                <w:sz w:val="21"/>
                <w:szCs w:val="21"/>
              </w:rPr>
            </w:pPr>
            <w:r>
              <w:rPr>
                <w:rFonts w:hint="eastAsia" w:ascii="宋体" w:hAnsi="宋体"/>
                <w:color w:val="auto"/>
                <w:kern w:val="0"/>
                <w:sz w:val="21"/>
                <w:szCs w:val="21"/>
              </w:rPr>
              <w:t>业绩</w:t>
            </w:r>
          </w:p>
          <w:p w14:paraId="0D362DFD">
            <w:pPr>
              <w:spacing w:line="360" w:lineRule="auto"/>
              <w:jc w:val="center"/>
              <w:rPr>
                <w:rFonts w:hint="eastAsia" w:ascii="宋体" w:hAnsi="宋体"/>
                <w:color w:val="auto"/>
                <w:kern w:val="0"/>
                <w:sz w:val="21"/>
                <w:szCs w:val="21"/>
              </w:rPr>
            </w:pPr>
            <w:r>
              <w:rPr>
                <w:rFonts w:hint="eastAsia" w:ascii="宋体" w:hAnsi="宋体"/>
                <w:color w:val="auto"/>
                <w:kern w:val="0"/>
                <w:sz w:val="21"/>
                <w:szCs w:val="21"/>
              </w:rPr>
              <w:t>（</w:t>
            </w:r>
            <w:r>
              <w:rPr>
                <w:rFonts w:hint="eastAsia" w:ascii="宋体" w:hAnsi="宋体"/>
                <w:color w:val="auto"/>
                <w:kern w:val="0"/>
                <w:sz w:val="21"/>
                <w:szCs w:val="21"/>
                <w:lang w:val="en-US" w:eastAsia="zh-CN"/>
              </w:rPr>
              <w:t>5</w:t>
            </w:r>
            <w:r>
              <w:rPr>
                <w:rFonts w:hint="eastAsia" w:ascii="宋体" w:hAnsi="宋体"/>
                <w:color w:val="auto"/>
                <w:kern w:val="0"/>
                <w:sz w:val="21"/>
                <w:szCs w:val="21"/>
              </w:rPr>
              <w:t>分）</w:t>
            </w:r>
          </w:p>
        </w:tc>
        <w:tc>
          <w:tcPr>
            <w:tcW w:w="6750" w:type="dxa"/>
            <w:tcBorders>
              <w:top w:val="single" w:color="auto" w:sz="4" w:space="0"/>
              <w:left w:val="single" w:color="auto" w:sz="4" w:space="0"/>
              <w:bottom w:val="single" w:color="auto" w:sz="4" w:space="0"/>
              <w:right w:val="single" w:color="auto" w:sz="4" w:space="0"/>
            </w:tcBorders>
            <w:vAlign w:val="center"/>
          </w:tcPr>
          <w:p w14:paraId="4D691874">
            <w:pPr>
              <w:adjustRightInd w:val="0"/>
              <w:snapToGrid w:val="0"/>
              <w:spacing w:line="360" w:lineRule="auto"/>
              <w:rPr>
                <w:rFonts w:hint="eastAsia" w:ascii="宋体" w:hAnsi="宋体" w:eastAsia="宋体"/>
                <w:color w:val="auto"/>
                <w:kern w:val="0"/>
                <w:sz w:val="21"/>
                <w:szCs w:val="21"/>
                <w:lang w:eastAsia="zh-CN"/>
              </w:rPr>
            </w:pPr>
            <w:r>
              <w:rPr>
                <w:rFonts w:hint="eastAsia" w:ascii="宋体" w:hAnsi="宋体" w:cs="宋体"/>
                <w:color w:val="auto"/>
                <w:sz w:val="21"/>
                <w:szCs w:val="21"/>
              </w:rPr>
              <w:t>根据供应商提</w:t>
            </w:r>
            <w:r>
              <w:rPr>
                <w:rFonts w:hint="eastAsia" w:ascii="宋体" w:hAnsi="宋体" w:cs="宋体"/>
                <w:color w:val="auto"/>
                <w:kern w:val="0"/>
                <w:sz w:val="21"/>
                <w:szCs w:val="21"/>
              </w:rPr>
              <w:t>供的20</w:t>
            </w:r>
            <w:r>
              <w:rPr>
                <w:rFonts w:hint="eastAsia" w:ascii="宋体" w:hAnsi="宋体" w:cs="宋体"/>
                <w:color w:val="auto"/>
                <w:kern w:val="0"/>
                <w:sz w:val="21"/>
                <w:szCs w:val="21"/>
                <w:lang w:val="en-US" w:eastAsia="zh-CN"/>
              </w:rPr>
              <w:t>21</w:t>
            </w:r>
            <w:r>
              <w:rPr>
                <w:rFonts w:hint="eastAsia" w:ascii="宋体" w:hAnsi="宋体" w:cs="宋体"/>
                <w:color w:val="auto"/>
                <w:kern w:val="0"/>
                <w:sz w:val="21"/>
                <w:szCs w:val="21"/>
              </w:rPr>
              <w:t>年1月1日以来同</w:t>
            </w:r>
            <w:r>
              <w:rPr>
                <w:rFonts w:hint="eastAsia" w:ascii="宋体" w:hAnsi="宋体" w:cs="宋体"/>
                <w:color w:val="auto"/>
                <w:kern w:val="0"/>
                <w:sz w:val="21"/>
                <w:szCs w:val="21"/>
                <w:lang w:eastAsia="zh-CN"/>
              </w:rPr>
              <w:t>等规模大中院校</w:t>
            </w:r>
            <w:r>
              <w:rPr>
                <w:rFonts w:hint="eastAsia" w:ascii="宋体" w:hAnsi="宋体" w:cs="宋体"/>
                <w:color w:val="auto"/>
                <w:kern w:val="0"/>
                <w:sz w:val="21"/>
                <w:szCs w:val="21"/>
                <w:lang w:val="en-US" w:eastAsia="zh-CN"/>
              </w:rPr>
              <w:t>水平衡测试</w:t>
            </w:r>
            <w:r>
              <w:rPr>
                <w:rFonts w:hint="eastAsia" w:ascii="宋体" w:hAnsi="宋体" w:cs="宋体"/>
                <w:color w:val="auto"/>
                <w:kern w:val="0"/>
                <w:sz w:val="21"/>
                <w:szCs w:val="21"/>
              </w:rPr>
              <w:t>项目有效合同业</w:t>
            </w:r>
            <w:r>
              <w:rPr>
                <w:rFonts w:hint="eastAsia" w:ascii="宋体" w:hAnsi="宋体" w:cs="宋体"/>
                <w:color w:val="auto"/>
                <w:sz w:val="21"/>
                <w:szCs w:val="21"/>
              </w:rPr>
              <w:t>绩给分，提供1份符合要求合同给</w:t>
            </w:r>
            <w:r>
              <w:rPr>
                <w:rFonts w:hint="eastAsia" w:ascii="宋体" w:hAnsi="宋体" w:cs="宋体"/>
                <w:color w:val="auto"/>
                <w:sz w:val="21"/>
                <w:szCs w:val="21"/>
                <w:lang w:val="en-US" w:eastAsia="zh-CN"/>
              </w:rPr>
              <w:t>1</w:t>
            </w:r>
            <w:r>
              <w:rPr>
                <w:rFonts w:hint="eastAsia" w:ascii="宋体" w:hAnsi="宋体" w:cs="宋体"/>
                <w:color w:val="auto"/>
                <w:sz w:val="21"/>
                <w:szCs w:val="21"/>
              </w:rPr>
              <w:t>分，最高得</w:t>
            </w:r>
            <w:r>
              <w:rPr>
                <w:rFonts w:hint="eastAsia" w:ascii="宋体" w:hAnsi="宋体" w:cs="宋体"/>
                <w:color w:val="auto"/>
                <w:sz w:val="21"/>
                <w:szCs w:val="21"/>
                <w:lang w:val="en-US" w:eastAsia="zh-CN"/>
              </w:rPr>
              <w:t>5</w:t>
            </w:r>
            <w:r>
              <w:rPr>
                <w:rFonts w:hint="eastAsia" w:ascii="宋体" w:hAnsi="宋体" w:cs="宋体"/>
                <w:color w:val="auto"/>
                <w:sz w:val="21"/>
                <w:szCs w:val="21"/>
              </w:rPr>
              <w:t>分</w:t>
            </w:r>
            <w:r>
              <w:rPr>
                <w:rFonts w:hint="eastAsia" w:ascii="宋体" w:hAnsi="宋体" w:cs="宋体"/>
                <w:color w:val="auto"/>
                <w:sz w:val="21"/>
                <w:szCs w:val="21"/>
                <w:lang w:eastAsia="zh-CN"/>
              </w:rPr>
              <w:t>。</w:t>
            </w:r>
          </w:p>
        </w:tc>
      </w:tr>
    </w:tbl>
    <w:p w14:paraId="664E6C95">
      <w:pPr>
        <w:spacing w:line="360" w:lineRule="auto"/>
        <w:ind w:firstLine="482" w:firstLineChars="200"/>
        <w:rPr>
          <w:rFonts w:hint="eastAsia"/>
          <w:b/>
          <w:bCs/>
        </w:rPr>
      </w:pPr>
    </w:p>
    <w:p w14:paraId="1E5FC2B9">
      <w:pPr>
        <w:spacing w:line="360" w:lineRule="auto"/>
        <w:ind w:firstLine="482" w:firstLineChars="200"/>
        <w:rPr>
          <w:b/>
          <w:bCs/>
        </w:rPr>
      </w:pPr>
      <w:r>
        <w:rPr>
          <w:rFonts w:hint="eastAsia"/>
          <w:b/>
          <w:bCs/>
        </w:rPr>
        <w:t>七、付款方式</w:t>
      </w:r>
    </w:p>
    <w:p w14:paraId="105B468B">
      <w:pPr>
        <w:pStyle w:val="6"/>
        <w:spacing w:after="0" w:line="360" w:lineRule="auto"/>
        <w:ind w:left="0" w:leftChars="0" w:right="0" w:rightChars="0"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（1）该项目无预付款；</w:t>
      </w:r>
    </w:p>
    <w:p w14:paraId="6850B88A">
      <w:pPr>
        <w:pStyle w:val="6"/>
        <w:spacing w:after="0" w:line="360" w:lineRule="auto"/>
        <w:ind w:left="0" w:leftChars="0" w:right="0" w:rightChars="0"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宋体" w:hAnsi="宋体" w:eastAsia="宋体"/>
          <w:bCs/>
          <w:color w:val="000000"/>
          <w:sz w:val="24"/>
          <w:lang w:val="en-US"/>
        </w:rPr>
        <w:t>测试服务结束且经甲</w:t>
      </w:r>
      <w:r>
        <w:rPr>
          <w:rFonts w:hint="eastAsia" w:ascii="宋体" w:hAnsi="宋体" w:eastAsia="宋体"/>
          <w:bCs/>
          <w:color w:val="auto"/>
          <w:sz w:val="24"/>
          <w:lang w:val="en-US"/>
        </w:rPr>
        <w:t>方及</w:t>
      </w:r>
      <w:r>
        <w:rPr>
          <w:rFonts w:hint="eastAsia" w:ascii="宋体" w:hAnsi="宋体" w:eastAsia="宋体"/>
          <w:color w:val="auto"/>
          <w:sz w:val="24"/>
          <w:szCs w:val="24"/>
        </w:rPr>
        <w:t>南京市供水节水管理部门</w:t>
      </w:r>
      <w:r>
        <w:rPr>
          <w:rFonts w:hint="eastAsia" w:ascii="宋体" w:hAnsi="宋体" w:eastAsia="宋体"/>
          <w:bCs/>
          <w:color w:val="auto"/>
          <w:sz w:val="24"/>
          <w:lang w:val="en-US"/>
        </w:rPr>
        <w:t>验收合格并且收到乙方开具的发票后一次性付清</w:t>
      </w:r>
      <w:r>
        <w:rPr>
          <w:rFonts w:hint="eastAsia" w:ascii="Times New Roman" w:hAnsi="Times New Roman" w:eastAsia="宋体" w:cs="Times New Roman"/>
          <w:color w:val="auto"/>
          <w:lang w:val="en-US" w:eastAsia="zh-CN"/>
        </w:rPr>
        <w:t>。</w:t>
      </w:r>
    </w:p>
    <w:p w14:paraId="7F9C4616">
      <w:pPr>
        <w:pStyle w:val="6"/>
        <w:spacing w:after="0" w:line="360" w:lineRule="auto"/>
        <w:ind w:left="0" w:leftChars="0" w:right="0" w:rightChars="0" w:firstLine="480" w:firstLineChars="200"/>
        <w:rPr>
          <w:rFonts w:hint="eastAsia" w:ascii="Times New Roman" w:hAnsi="Times New Roman" w:eastAsia="宋体" w:cs="Times New Roman"/>
        </w:rPr>
      </w:pPr>
    </w:p>
    <w:p w14:paraId="06748016">
      <w:pPr>
        <w:pStyle w:val="4"/>
        <w:spacing w:line="360" w:lineRule="auto"/>
        <w:ind w:right="1680"/>
        <w:rPr>
          <w:rFonts w:ascii="宋体" w:hAnsi="宋体"/>
          <w:b/>
          <w:bCs/>
          <w:szCs w:val="24"/>
        </w:rPr>
      </w:pPr>
      <w:r>
        <w:rPr>
          <w:rFonts w:hint="eastAsia" w:ascii="宋体" w:hAnsi="宋体"/>
          <w:b/>
          <w:bCs/>
          <w:szCs w:val="24"/>
        </w:rPr>
        <w:t>八、质疑处理</w:t>
      </w:r>
    </w:p>
    <w:p w14:paraId="5BAF70C6">
      <w:pPr>
        <w:spacing w:line="360" w:lineRule="auto"/>
        <w:ind w:firstLine="480" w:firstLineChars="200"/>
      </w:pPr>
      <w:r>
        <w:rPr>
          <w:rFonts w:hint="eastAsia"/>
        </w:rPr>
        <w:t>1、参加采购供应商认为采购过程和采购结果使自己的权益受到损害的，可以从采购结果公布结束之日起七个工作日内，以书面形式向南京中医药大学</w:t>
      </w:r>
      <w:r>
        <w:rPr>
          <w:rFonts w:hint="eastAsia"/>
          <w:lang w:eastAsia="zh-CN"/>
        </w:rPr>
        <w:t>后勤基建处</w:t>
      </w:r>
      <w:r>
        <w:rPr>
          <w:rFonts w:hint="eastAsia"/>
        </w:rPr>
        <w:t>提出质疑。非书面形式、七个工作日之外提交以及匿名的质疑将不予受理。</w:t>
      </w:r>
    </w:p>
    <w:p w14:paraId="4A55D8F3">
      <w:pPr>
        <w:pStyle w:val="6"/>
        <w:spacing w:after="0" w:line="360" w:lineRule="auto"/>
        <w:ind w:left="0" w:leftChars="0" w:right="0" w:rightChars="0" w:firstLine="480" w:firstLineChars="200"/>
      </w:pPr>
      <w:r>
        <w:rPr>
          <w:rFonts w:hint="eastAsia"/>
        </w:rPr>
        <w:t>2、质疑必须以参加采购供应商法定代表人或授权代表（采购文件中所确定的）现场送达的方式提交，未按上述要求提交的质疑函（含传真、电子邮件等）以及质疑函中未包括质疑内容及相应的证明材料等情况，南京中医药大学</w:t>
      </w:r>
      <w:r>
        <w:rPr>
          <w:rFonts w:hint="eastAsia"/>
          <w:lang w:eastAsia="zh-CN"/>
        </w:rPr>
        <w:t>后勤基建处</w:t>
      </w:r>
      <w:r>
        <w:rPr>
          <w:rFonts w:hint="eastAsia"/>
        </w:rPr>
        <w:t>将不予受理。</w:t>
      </w:r>
    </w:p>
    <w:p w14:paraId="6F4A1528">
      <w:pPr>
        <w:pStyle w:val="6"/>
        <w:spacing w:after="0" w:line="360" w:lineRule="auto"/>
        <w:ind w:left="0" w:leftChars="0" w:right="0" w:rightChars="0" w:firstLine="480" w:firstLineChars="200"/>
      </w:pPr>
      <w:r>
        <w:rPr>
          <w:rFonts w:hint="eastAsia"/>
        </w:rPr>
        <w:t>3、未参加采购的供应商或在采购活动中本身权益未受到损害或从采购活动中收益的供应商所提出的质疑不予受理。</w:t>
      </w:r>
    </w:p>
    <w:p w14:paraId="32112D74">
      <w:pPr>
        <w:pStyle w:val="6"/>
        <w:spacing w:after="0" w:line="360" w:lineRule="auto"/>
        <w:ind w:left="0" w:leftChars="0" w:right="0" w:rightChars="0" w:firstLine="480" w:firstLineChars="200"/>
      </w:pPr>
      <w:r>
        <w:rPr>
          <w:rFonts w:hint="eastAsia"/>
        </w:rPr>
        <w:t>4、南京中医药大学</w:t>
      </w:r>
      <w:r>
        <w:rPr>
          <w:rFonts w:hint="eastAsia"/>
          <w:lang w:eastAsia="zh-CN"/>
        </w:rPr>
        <w:t>后勤基建处</w:t>
      </w:r>
      <w:r>
        <w:rPr>
          <w:rFonts w:hint="eastAsia"/>
        </w:rPr>
        <w:t>将在收到采购供应商的书面质疑后三个工作日内作出答复，并以书面形式通知质疑供应商，但答复的内容不得涉及商业秘密。</w:t>
      </w:r>
    </w:p>
    <w:p w14:paraId="78013352">
      <w:pPr>
        <w:pStyle w:val="6"/>
        <w:spacing w:after="0" w:line="360" w:lineRule="auto"/>
        <w:ind w:left="0" w:leftChars="0" w:right="0" w:rightChars="0" w:firstLine="480" w:firstLineChars="200"/>
      </w:pPr>
      <w:r>
        <w:rPr>
          <w:rFonts w:hint="eastAsia"/>
        </w:rPr>
        <w:t>5、供应商提出书面质疑必须有理、有据，不得恶意质疑或提交虚假质疑。否则，一经查实，南京中医药大学</w:t>
      </w:r>
      <w:r>
        <w:rPr>
          <w:rFonts w:hint="eastAsia"/>
          <w:lang w:eastAsia="zh-CN"/>
        </w:rPr>
        <w:t>后勤基建处</w:t>
      </w:r>
      <w:r>
        <w:rPr>
          <w:rFonts w:hint="eastAsia"/>
        </w:rPr>
        <w:t>有权依据政府采购的有关规定，报请政府采购监管部门对该供应商进行相应的行政处罚。</w:t>
      </w:r>
    </w:p>
    <w:p w14:paraId="05AAD555">
      <w:pPr>
        <w:pStyle w:val="6"/>
        <w:ind w:left="1680" w:right="1680"/>
      </w:pPr>
    </w:p>
    <w:p w14:paraId="0A1C8BBB">
      <w:pPr>
        <w:spacing w:line="360" w:lineRule="auto"/>
        <w:ind w:firstLine="482" w:firstLineChars="200"/>
        <w:rPr>
          <w:b/>
        </w:rPr>
      </w:pPr>
      <w:r>
        <w:rPr>
          <w:rFonts w:hint="eastAsia"/>
          <w:b/>
        </w:rPr>
        <w:t>九、成交后的履行</w:t>
      </w:r>
    </w:p>
    <w:p w14:paraId="19BF59B9">
      <w:pPr>
        <w:spacing w:line="360" w:lineRule="auto"/>
        <w:ind w:firstLine="480" w:firstLineChars="200"/>
      </w:pPr>
      <w:r>
        <w:rPr>
          <w:rFonts w:hint="eastAsia"/>
        </w:rPr>
        <w:t>1、成交后</w:t>
      </w:r>
      <w:r>
        <w:rPr>
          <w:rFonts w:hint="eastAsia"/>
          <w:lang w:val="en-US" w:eastAsia="zh-CN"/>
        </w:rPr>
        <w:t>30日内</w:t>
      </w:r>
      <w:r>
        <w:rPr>
          <w:rFonts w:hint="eastAsia"/>
        </w:rPr>
        <w:t>，按照采购文件和供货商的响应文件订立书面合同。采购人和最终成交商不得再订立背离合同实质性内容的其他协议。</w:t>
      </w:r>
    </w:p>
    <w:p w14:paraId="54FA9BFA">
      <w:pPr>
        <w:spacing w:line="360" w:lineRule="auto"/>
        <w:ind w:firstLine="480" w:firstLineChars="200"/>
      </w:pPr>
      <w:r>
        <w:rPr>
          <w:rFonts w:hint="eastAsia"/>
        </w:rPr>
        <w:t>2、最终成交商不按规定签订合同的，履约保证金将被没收。</w:t>
      </w:r>
    </w:p>
    <w:p w14:paraId="442B8D18">
      <w:pPr>
        <w:spacing w:line="360" w:lineRule="auto"/>
        <w:ind w:firstLine="482" w:firstLineChars="200"/>
        <w:jc w:val="right"/>
        <w:rPr>
          <w:rFonts w:hint="eastAsia" w:ascii="宋体" w:hAnsi="宋体" w:eastAsia="宋体"/>
          <w:b/>
          <w:lang w:eastAsia="zh-CN"/>
        </w:rPr>
      </w:pPr>
      <w:r>
        <w:rPr>
          <w:rFonts w:hint="eastAsia" w:ascii="宋体" w:hAnsi="宋体"/>
          <w:b/>
        </w:rPr>
        <w:t>南京中医药大学</w:t>
      </w:r>
      <w:r>
        <w:rPr>
          <w:rFonts w:hint="eastAsia" w:ascii="宋体" w:hAnsi="宋体"/>
          <w:b/>
          <w:lang w:eastAsia="zh-CN"/>
        </w:rPr>
        <w:t>后勤基建处</w:t>
      </w:r>
    </w:p>
    <w:p w14:paraId="5A0BFAF6">
      <w:pPr>
        <w:wordWrap w:val="0"/>
        <w:spacing w:line="360" w:lineRule="auto"/>
        <w:ind w:right="480" w:firstLine="482" w:firstLineChars="200"/>
        <w:jc w:val="right"/>
        <w:rPr>
          <w:rFonts w:hint="eastAsia"/>
        </w:rPr>
      </w:pPr>
      <w:r>
        <w:rPr>
          <w:rFonts w:hint="eastAsia" w:ascii="宋体" w:hAnsi="宋体"/>
          <w:b/>
        </w:rPr>
        <w:t>202</w:t>
      </w:r>
      <w:r>
        <w:rPr>
          <w:rFonts w:hint="eastAsia" w:ascii="宋体" w:hAnsi="宋体"/>
          <w:b/>
          <w:lang w:val="en-US" w:eastAsia="zh-CN"/>
        </w:rPr>
        <w:t>4</w:t>
      </w:r>
      <w:r>
        <w:rPr>
          <w:rFonts w:hint="eastAsia" w:ascii="宋体" w:hAnsi="宋体"/>
          <w:b/>
        </w:rPr>
        <w:t>年</w:t>
      </w:r>
      <w:r>
        <w:rPr>
          <w:rFonts w:hint="eastAsia" w:ascii="宋体" w:hAnsi="宋体"/>
          <w:b/>
          <w:lang w:val="en-US" w:eastAsia="zh-CN"/>
        </w:rPr>
        <w:t>11</w:t>
      </w:r>
      <w:r>
        <w:rPr>
          <w:rFonts w:hint="eastAsia" w:ascii="宋体" w:hAnsi="宋体"/>
          <w:b/>
        </w:rPr>
        <w:t>月</w:t>
      </w:r>
      <w:r>
        <w:rPr>
          <w:rFonts w:hint="eastAsia" w:ascii="宋体" w:hAnsi="宋体"/>
          <w:b/>
          <w:lang w:val="en-US" w:eastAsia="zh-CN"/>
        </w:rPr>
        <w:t>25</w:t>
      </w:r>
      <w:r>
        <w:rPr>
          <w:rFonts w:hint="eastAsia" w:ascii="宋体" w:hAnsi="宋体"/>
          <w:b/>
        </w:rPr>
        <w:t>日</w:t>
      </w:r>
    </w:p>
    <w:p w14:paraId="187C42C7">
      <w:pPr>
        <w:rPr>
          <w:rFonts w:hint="eastAsia"/>
        </w:rPr>
      </w:pPr>
    </w:p>
    <w:p w14:paraId="53F1A8DB">
      <w:pPr>
        <w:pStyle w:val="6"/>
        <w:ind w:left="0" w:leftChars="0" w:right="1680"/>
      </w:pPr>
      <w:r>
        <w:rPr>
          <w:rFonts w:hint="eastAsia"/>
        </w:rPr>
        <w:t>附件</w:t>
      </w:r>
    </w:p>
    <w:p w14:paraId="256A91BF">
      <w:pPr>
        <w:jc w:val="center"/>
        <w:rPr>
          <w:rFonts w:hint="eastAsia"/>
          <w:b/>
          <w:sz w:val="32"/>
          <w:szCs w:val="32"/>
        </w:rPr>
      </w:pPr>
      <w:bookmarkStart w:id="0" w:name="OLE_LINK1"/>
      <w:bookmarkStart w:id="1" w:name="OLE_LINK2"/>
      <w:r>
        <w:rPr>
          <w:rFonts w:hint="eastAsia"/>
          <w:b/>
          <w:sz w:val="32"/>
          <w:szCs w:val="32"/>
          <w:lang w:val="en-US" w:eastAsia="zh-CN"/>
        </w:rPr>
        <w:t>水平衡测试综合服务</w:t>
      </w:r>
      <w:r>
        <w:rPr>
          <w:rFonts w:hint="eastAsia"/>
          <w:b/>
          <w:sz w:val="32"/>
          <w:szCs w:val="32"/>
        </w:rPr>
        <w:t>采购要求</w:t>
      </w:r>
      <w:bookmarkEnd w:id="0"/>
      <w:bookmarkEnd w:id="1"/>
    </w:p>
    <w:p w14:paraId="4655D04C">
      <w:pPr>
        <w:pStyle w:val="6"/>
        <w:spacing w:after="0" w:line="360" w:lineRule="auto"/>
        <w:ind w:left="0" w:leftChars="0" w:right="0" w:rightChars="0" w:firstLine="482"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一、项目名称：</w:t>
      </w:r>
      <w:r>
        <w:rPr>
          <w:rFonts w:hint="eastAsia" w:ascii="Times New Roman" w:hAnsi="Times New Roman" w:eastAsia="宋体" w:cs="Times New Roman"/>
          <w:kern w:val="2"/>
          <w:sz w:val="24"/>
          <w:szCs w:val="24"/>
          <w:lang w:val="en-US" w:eastAsia="zh-CN" w:bidi="ar-SA"/>
        </w:rPr>
        <w:t xml:space="preserve">水平衡测试综合服务项目 </w:t>
      </w:r>
    </w:p>
    <w:p w14:paraId="73D4769E">
      <w:pPr>
        <w:pStyle w:val="6"/>
        <w:spacing w:after="0" w:line="360" w:lineRule="auto"/>
        <w:ind w:left="0" w:leftChars="0" w:right="0" w:rightChars="0" w:firstLine="482" w:firstLineChars="200"/>
        <w:rPr>
          <w:rFonts w:hint="eastAsia" w:ascii="Times New Roman" w:hAnsi="Times New Roman" w:eastAsia="宋体" w:cs="Times New Roman"/>
          <w:b/>
          <w:bCs/>
          <w:kern w:val="2"/>
          <w:sz w:val="24"/>
          <w:szCs w:val="24"/>
          <w:lang w:val="en-US" w:eastAsia="zh-CN" w:bidi="ar-SA"/>
        </w:rPr>
      </w:pPr>
      <w:bookmarkStart w:id="2" w:name="_Toc123786891"/>
      <w:r>
        <w:rPr>
          <w:rFonts w:hint="eastAsia" w:ascii="Times New Roman" w:hAnsi="Times New Roman" w:eastAsia="宋体" w:cs="Times New Roman"/>
          <w:b/>
          <w:bCs/>
          <w:kern w:val="2"/>
          <w:sz w:val="24"/>
          <w:szCs w:val="24"/>
          <w:lang w:val="en-US" w:eastAsia="zh-CN" w:bidi="ar-SA"/>
        </w:rPr>
        <w:t>二、</w:t>
      </w:r>
      <w:bookmarkEnd w:id="2"/>
      <w:r>
        <w:rPr>
          <w:rFonts w:hint="eastAsia" w:ascii="Times New Roman" w:hAnsi="Times New Roman" w:eastAsia="宋体" w:cs="Times New Roman"/>
          <w:b/>
          <w:bCs/>
          <w:kern w:val="2"/>
          <w:sz w:val="24"/>
          <w:szCs w:val="24"/>
          <w:lang w:val="en-US" w:eastAsia="zh-CN" w:bidi="ar-SA"/>
        </w:rPr>
        <w:t>项目概况及要求</w:t>
      </w:r>
    </w:p>
    <w:p w14:paraId="311DC104">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项目概况：为巩固节水型城市创建成果，协助非居民用户提高单位内部节水管理水平，根据《中华人民共和国民法典》、《江苏省节约用水条例》、《南京市城市供水和节约用水管理条例》及有关法律法规的规定，南京中医药大学拟委托第三方服务机构，开展水平衡测试综合服务项目，中标单位需对我校仙林校区和汉中门校区进行供水管道漏水情况的检测，确定符合水平衡测试相关要求后开展水平衡测试工作，并送南京市供水节水管理部门验收。</w:t>
      </w:r>
    </w:p>
    <w:p w14:paraId="1C6888D6">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2.服务要求：中标人应根据南京中医药大学单位要求，在合法的信息采集渠道内，参照以下标准进行水平衡测试综合服务项目工作，并最终完成此项全部工作。</w:t>
      </w:r>
    </w:p>
    <w:p w14:paraId="0964BA04">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参照标准：</w:t>
      </w:r>
      <w:r>
        <w:rPr>
          <w:rFonts w:hint="eastAsia" w:ascii="Times New Roman" w:hAnsi="Times New Roman" w:eastAsia="宋体" w:cs="Times New Roman"/>
          <w:kern w:val="2"/>
          <w:sz w:val="24"/>
          <w:szCs w:val="24"/>
          <w:lang w:val="en-US" w:eastAsia="zh-CN" w:bidi="ar-SA"/>
        </w:rPr>
        <w:t>《企业水平衡测试综合服务项目通则》GB/T12452-2008</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《节水型企业评价导则》GB/7119-2006；《江苏省城市生活与公共用水定额(2012年修订)》；《江苏省工业、服务业和生活用水定额（2014年修订》苏水资【2015】33号。</w:t>
      </w:r>
    </w:p>
    <w:tbl>
      <w:tblPr>
        <w:tblStyle w:val="11"/>
        <w:tblW w:w="6931" w:type="dxa"/>
        <w:jc w:val="center"/>
        <w:shd w:val="clear" w:color="auto" w:fill="auto"/>
        <w:tblLayout w:type="fixed"/>
        <w:tblCellMar>
          <w:top w:w="0" w:type="dxa"/>
          <w:left w:w="0" w:type="dxa"/>
          <w:bottom w:w="0" w:type="dxa"/>
          <w:right w:w="0" w:type="dxa"/>
        </w:tblCellMar>
      </w:tblPr>
      <w:tblGrid>
        <w:gridCol w:w="754"/>
        <w:gridCol w:w="2268"/>
        <w:gridCol w:w="3909"/>
      </w:tblGrid>
      <w:tr w14:paraId="58C6442A">
        <w:tblPrEx>
          <w:shd w:val="clear" w:color="auto" w:fill="auto"/>
          <w:tblCellMar>
            <w:top w:w="0" w:type="dxa"/>
            <w:left w:w="0" w:type="dxa"/>
            <w:bottom w:w="0" w:type="dxa"/>
            <w:right w:w="0" w:type="dxa"/>
          </w:tblCellMar>
        </w:tblPrEx>
        <w:trPr>
          <w:trHeight w:val="362"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D8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79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w:t>
            </w:r>
            <w:r>
              <w:rPr>
                <w:rFonts w:hint="eastAsia" w:asciiTheme="minorEastAsia" w:hAnsiTheme="minorEastAsia" w:cstheme="minorEastAsia"/>
                <w:i w:val="0"/>
                <w:color w:val="000000"/>
                <w:kern w:val="0"/>
                <w:sz w:val="21"/>
                <w:szCs w:val="21"/>
                <w:u w:val="none"/>
                <w:lang w:val="en-US" w:eastAsia="zh-CN" w:bidi="ar"/>
              </w:rPr>
              <w:t>名称</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E6D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项目特征描述</w:t>
            </w:r>
          </w:p>
        </w:tc>
      </w:tr>
      <w:tr w14:paraId="354844B9">
        <w:tblPrEx>
          <w:tblCellMar>
            <w:top w:w="0" w:type="dxa"/>
            <w:left w:w="0" w:type="dxa"/>
            <w:bottom w:w="0" w:type="dxa"/>
            <w:right w:w="0" w:type="dxa"/>
          </w:tblCellMar>
        </w:tblPrEx>
        <w:trPr>
          <w:trHeight w:val="508"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4A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58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cstheme="minorEastAsia"/>
                <w:i w:val="0"/>
                <w:color w:val="000000"/>
                <w:sz w:val="21"/>
                <w:szCs w:val="21"/>
                <w:u w:val="none"/>
                <w:lang w:val="en-US" w:eastAsia="zh-CN"/>
              </w:rPr>
              <w:t>汉中门</w:t>
            </w:r>
            <w:r>
              <w:rPr>
                <w:rFonts w:hint="eastAsia" w:asciiTheme="minorEastAsia" w:hAnsiTheme="minorEastAsia" w:cstheme="minorEastAsia"/>
                <w:i w:val="0"/>
                <w:color w:val="000000"/>
                <w:sz w:val="21"/>
                <w:szCs w:val="21"/>
                <w:u w:val="none"/>
                <w:lang w:eastAsia="zh-CN"/>
              </w:rPr>
              <w:t>校区水平衡测试</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E34D">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2023年度月均用水量为16134立方米</w:t>
            </w:r>
          </w:p>
        </w:tc>
      </w:tr>
      <w:tr w14:paraId="00CD1C71">
        <w:tblPrEx>
          <w:tblCellMar>
            <w:top w:w="0" w:type="dxa"/>
            <w:left w:w="0" w:type="dxa"/>
            <w:bottom w:w="0" w:type="dxa"/>
            <w:right w:w="0" w:type="dxa"/>
          </w:tblCellMar>
        </w:tblPrEx>
        <w:trPr>
          <w:trHeight w:val="549"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171F">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6765">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仙林</w:t>
            </w:r>
            <w:r>
              <w:rPr>
                <w:rFonts w:hint="eastAsia" w:ascii="宋体" w:hAnsi="宋体" w:eastAsia="宋体" w:cs="宋体"/>
                <w:i w:val="0"/>
                <w:color w:val="000000"/>
                <w:sz w:val="21"/>
                <w:szCs w:val="21"/>
                <w:u w:val="none"/>
                <w:lang w:eastAsia="zh-CN"/>
              </w:rPr>
              <w:t>校区水平衡测试</w:t>
            </w:r>
          </w:p>
        </w:tc>
        <w:tc>
          <w:tcPr>
            <w:tcW w:w="3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24F2">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202</w:t>
            </w:r>
            <w:r>
              <w:rPr>
                <w:rFonts w:hint="eastAsia" w:ascii="宋体" w:hAnsi="宋体" w:cs="宋体"/>
                <w:i w:val="0"/>
                <w:color w:val="000000"/>
                <w:sz w:val="21"/>
                <w:szCs w:val="21"/>
                <w:u w:val="none"/>
                <w:lang w:val="en-US" w:eastAsia="zh-CN"/>
              </w:rPr>
              <w:t>3</w:t>
            </w:r>
            <w:r>
              <w:rPr>
                <w:rFonts w:hint="eastAsia" w:ascii="宋体" w:hAnsi="宋体" w:eastAsia="宋体" w:cs="宋体"/>
                <w:i w:val="0"/>
                <w:color w:val="000000"/>
                <w:sz w:val="21"/>
                <w:szCs w:val="21"/>
                <w:u w:val="none"/>
                <w:lang w:val="en-US" w:eastAsia="zh-CN"/>
              </w:rPr>
              <w:t>年度月均用水量为1</w:t>
            </w:r>
            <w:r>
              <w:rPr>
                <w:rFonts w:hint="eastAsia" w:ascii="宋体" w:hAnsi="宋体" w:cs="宋体"/>
                <w:i w:val="0"/>
                <w:color w:val="000000"/>
                <w:sz w:val="21"/>
                <w:szCs w:val="21"/>
                <w:u w:val="none"/>
                <w:lang w:val="en-US" w:eastAsia="zh-CN"/>
              </w:rPr>
              <w:t>11268</w:t>
            </w:r>
            <w:r>
              <w:rPr>
                <w:rFonts w:hint="eastAsia" w:ascii="宋体" w:hAnsi="宋体" w:eastAsia="宋体" w:cs="宋体"/>
                <w:i w:val="0"/>
                <w:color w:val="000000"/>
                <w:sz w:val="21"/>
                <w:szCs w:val="21"/>
                <w:u w:val="none"/>
                <w:lang w:val="en-US" w:eastAsia="zh-CN"/>
              </w:rPr>
              <w:t>立方米</w:t>
            </w:r>
          </w:p>
        </w:tc>
      </w:tr>
    </w:tbl>
    <w:p w14:paraId="39F9FCC3">
      <w:pPr>
        <w:pStyle w:val="6"/>
        <w:spacing w:after="0" w:line="360" w:lineRule="auto"/>
        <w:ind w:left="0" w:leftChars="0" w:right="0" w:rightChars="0" w:firstLine="0" w:firstLineChars="0"/>
        <w:rPr>
          <w:rFonts w:hint="eastAsia" w:ascii="Times New Roman" w:hAnsi="Times New Roman" w:eastAsia="宋体" w:cs="Times New Roman"/>
          <w:kern w:val="2"/>
          <w:sz w:val="24"/>
          <w:szCs w:val="24"/>
          <w:lang w:val="en-US" w:eastAsia="zh-CN" w:bidi="ar-SA"/>
        </w:rPr>
      </w:pPr>
    </w:p>
    <w:p w14:paraId="6585EC13">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调查学校的水源情况。包括自备水源、市政给水管网水源及外部补给的回用水。查清所有水源及内部任一用水系统的技术数据及采集取自水源的水量及主要用途。</w:t>
      </w:r>
    </w:p>
    <w:p w14:paraId="021BB059">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调查学校用水状况，整理用水资料。</w:t>
      </w:r>
    </w:p>
    <w:p w14:paraId="062BDF01">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调查学校给水系统，水表等计量装置。</w:t>
      </w:r>
    </w:p>
    <w:p w14:paraId="37C5544C">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编制学校主要用水单元水表配置表及绘制计量网络图。</w:t>
      </w:r>
    </w:p>
    <w:p w14:paraId="6C600D9B">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划定测试单元，确定测试周期和时段，拟定测试工作计划。</w:t>
      </w:r>
    </w:p>
    <w:p w14:paraId="60BA7061">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进行水量平衡测试，编制水平衡测试报告书。</w:t>
      </w:r>
    </w:p>
    <w:p w14:paraId="790B0AFF">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（7）</w:t>
      </w:r>
      <w:r>
        <w:rPr>
          <w:rFonts w:hint="eastAsia" w:ascii="Times New Roman" w:hAnsi="Times New Roman" w:eastAsia="宋体" w:cs="Times New Roman"/>
          <w:color w:val="auto"/>
          <w:kern w:val="2"/>
          <w:sz w:val="24"/>
          <w:szCs w:val="24"/>
          <w:lang w:val="en-US" w:eastAsia="zh-CN" w:bidi="ar-SA"/>
        </w:rPr>
        <w:t>确保南京市供水节水管理</w:t>
      </w:r>
      <w:r>
        <w:rPr>
          <w:rFonts w:hint="eastAsia" w:cs="Times New Roman"/>
          <w:color w:val="auto"/>
          <w:kern w:val="2"/>
          <w:sz w:val="24"/>
          <w:szCs w:val="24"/>
          <w:lang w:val="en-US" w:eastAsia="zh-CN" w:bidi="ar-SA"/>
        </w:rPr>
        <w:t>部门</w:t>
      </w:r>
      <w:r>
        <w:rPr>
          <w:rFonts w:hint="eastAsia" w:ascii="Times New Roman" w:hAnsi="Times New Roman" w:eastAsia="宋体" w:cs="Times New Roman"/>
          <w:color w:val="auto"/>
          <w:kern w:val="2"/>
          <w:sz w:val="24"/>
          <w:szCs w:val="24"/>
          <w:lang w:val="en-US" w:eastAsia="zh-CN" w:bidi="ar-SA"/>
        </w:rPr>
        <w:t>组织的专家评审验收通过。</w:t>
      </w:r>
    </w:p>
    <w:p w14:paraId="7A073D2C">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以上所有内容以符合招标人最终审核要求的成果为准。</w:t>
      </w:r>
    </w:p>
    <w:p w14:paraId="7CB47411">
      <w:pPr>
        <w:pStyle w:val="6"/>
        <w:spacing w:after="0" w:line="360" w:lineRule="auto"/>
        <w:ind w:left="0" w:leftChars="0" w:right="0" w:rightChars="0" w:firstLine="482" w:firstLineChars="20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三、工作周期要求</w:t>
      </w:r>
    </w:p>
    <w:p w14:paraId="2F493472">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月完成，具体进度如下：</w:t>
      </w:r>
    </w:p>
    <w:p w14:paraId="471A26F0">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12</w:t>
      </w:r>
      <w:r>
        <w:rPr>
          <w:rFonts w:hint="eastAsia" w:ascii="Times New Roman" w:hAnsi="Times New Roman" w:eastAsia="宋体" w:cs="Times New Roman"/>
          <w:color w:val="auto"/>
          <w:kern w:val="2"/>
          <w:sz w:val="24"/>
          <w:szCs w:val="24"/>
          <w:lang w:val="en-US" w:eastAsia="zh-CN" w:bidi="ar-SA"/>
        </w:rPr>
        <w:t>月完成被测试单位二级水表调查工作，管网泄漏情况的判定工作，管网基本资料的整理</w:t>
      </w:r>
      <w:r>
        <w:rPr>
          <w:rFonts w:hint="eastAsia" w:cs="Times New Roman"/>
          <w:color w:val="auto"/>
          <w:kern w:val="2"/>
          <w:sz w:val="24"/>
          <w:szCs w:val="24"/>
          <w:lang w:val="en-US" w:eastAsia="zh-CN" w:bidi="ar-SA"/>
        </w:rPr>
        <w:t>,，对校园供水管网CAD图进行缺失部分的测绘补充</w:t>
      </w:r>
      <w:r>
        <w:rPr>
          <w:rFonts w:hint="eastAsia" w:ascii="Times New Roman" w:hAnsi="Times New Roman" w:eastAsia="宋体" w:cs="Times New Roman"/>
          <w:color w:val="auto"/>
          <w:kern w:val="2"/>
          <w:sz w:val="24"/>
          <w:szCs w:val="24"/>
          <w:lang w:val="en-US" w:eastAsia="zh-CN" w:bidi="ar-SA"/>
        </w:rPr>
        <w:t>。</w:t>
      </w:r>
    </w:p>
    <w:p w14:paraId="30E70BF4">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1月和2</w:t>
      </w:r>
      <w:r>
        <w:rPr>
          <w:rFonts w:hint="eastAsia" w:ascii="Times New Roman" w:hAnsi="Times New Roman" w:eastAsia="宋体" w:cs="Times New Roman"/>
          <w:color w:val="auto"/>
          <w:kern w:val="2"/>
          <w:sz w:val="24"/>
          <w:szCs w:val="24"/>
          <w:lang w:val="en-US" w:eastAsia="zh-CN" w:bidi="ar-SA"/>
        </w:rPr>
        <w:t>月进行实际测试阶段，对单位各用水区域和用水单元抄表分析，确定其用水参数的水量值，并根据其输入水量与输出水量之间的平衡关系，分析用水合理程度的工作。</w:t>
      </w:r>
    </w:p>
    <w:p w14:paraId="1FEA073A">
      <w:pPr>
        <w:pStyle w:val="6"/>
        <w:spacing w:after="0" w:line="360" w:lineRule="auto"/>
        <w:ind w:left="0" w:leftChars="0" w:right="0" w:rightChars="0" w:firstLine="480" w:firstLineChars="200"/>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月，完成水平衡测试综合服务项目工作，向</w:t>
      </w:r>
      <w:r>
        <w:rPr>
          <w:rFonts w:hint="eastAsia" w:cs="Times New Roman"/>
          <w:color w:val="auto"/>
          <w:kern w:val="2"/>
          <w:sz w:val="24"/>
          <w:szCs w:val="24"/>
          <w:lang w:val="en-US" w:eastAsia="zh-CN" w:bidi="ar-SA"/>
        </w:rPr>
        <w:t>南京市供水节水管理部门提交验收，并确保验收合格。</w:t>
      </w:r>
    </w:p>
    <w:p w14:paraId="3A313E5D">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年</w:t>
      </w: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月</w:t>
      </w:r>
      <w:r>
        <w:rPr>
          <w:rFonts w:hint="eastAsia" w:cs="Times New Roman"/>
          <w:color w:val="auto"/>
          <w:kern w:val="2"/>
          <w:sz w:val="24"/>
          <w:szCs w:val="24"/>
          <w:lang w:val="en-US" w:eastAsia="zh-CN" w:bidi="ar-SA"/>
        </w:rPr>
        <w:t>向</w:t>
      </w:r>
      <w:r>
        <w:rPr>
          <w:rFonts w:hint="eastAsia" w:ascii="Times New Roman" w:hAnsi="Times New Roman" w:eastAsia="宋体" w:cs="Times New Roman"/>
          <w:color w:val="auto"/>
          <w:kern w:val="2"/>
          <w:sz w:val="24"/>
          <w:szCs w:val="24"/>
          <w:lang w:val="en-US" w:eastAsia="zh-CN" w:bidi="ar-SA"/>
        </w:rPr>
        <w:t>招标人提交水平衡测试报告书</w:t>
      </w:r>
      <w:r>
        <w:rPr>
          <w:rFonts w:hint="eastAsia" w:cs="Times New Roman"/>
          <w:color w:val="auto"/>
          <w:kern w:val="2"/>
          <w:sz w:val="24"/>
          <w:szCs w:val="24"/>
          <w:lang w:val="en-US" w:eastAsia="zh-CN" w:bidi="ar-SA"/>
        </w:rPr>
        <w:t>，供水管网CAD的补充并提交验收通过批文</w:t>
      </w:r>
      <w:r>
        <w:rPr>
          <w:rFonts w:hint="eastAsia" w:ascii="Times New Roman" w:hAnsi="Times New Roman" w:eastAsia="宋体" w:cs="Times New Roman"/>
          <w:color w:val="auto"/>
          <w:kern w:val="2"/>
          <w:sz w:val="24"/>
          <w:szCs w:val="24"/>
          <w:lang w:val="en-US" w:eastAsia="zh-CN" w:bidi="ar-SA"/>
        </w:rPr>
        <w:t>。</w:t>
      </w:r>
    </w:p>
    <w:p w14:paraId="6AF34B82">
      <w:pPr>
        <w:pStyle w:val="6"/>
        <w:spacing w:after="0" w:line="360" w:lineRule="auto"/>
        <w:ind w:left="0" w:leftChars="0" w:right="0" w:rightChars="0" w:firstLine="480" w:firstLineChars="200"/>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备注：如果工期因不可抗力原因造成延误，中标方须向招标方提交书面说明。</w:t>
      </w:r>
    </w:p>
    <w:p w14:paraId="39900281">
      <w:pPr>
        <w:pStyle w:val="6"/>
        <w:spacing w:after="0" w:line="360" w:lineRule="auto"/>
        <w:ind w:left="0" w:leftChars="0" w:right="0" w:rightChars="0"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四、服务保障和自罚承诺</w:t>
      </w:r>
    </w:p>
    <w:p w14:paraId="2CFE1CB5">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服务人员数量由投标人根据实际工作量自行测算配备，满足招标人对测试服务的进度计划要求。</w:t>
      </w:r>
    </w:p>
    <w:p w14:paraId="1E9D08B8">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投标人应对照询价文件要求，说明所提供服务已对招标人的需求做出了实质性的响应，或申明与需求的偏差和例外。</w:t>
      </w:r>
    </w:p>
    <w:p w14:paraId="48E0CBBA">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投标人可以在投标文件中提出不同的服务标准和保障承诺，使评标委员会相信替代服务相同于或优于原需求，特别对于具体参数要求的指标，投标人必须提供具体参数值。</w:t>
      </w:r>
    </w:p>
    <w:p w14:paraId="19BC0930">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投标人能承诺安全责任，包括人身伤害、火灾、物品失窃等，违约承担相应责任。</w:t>
      </w:r>
    </w:p>
    <w:p w14:paraId="1878594A">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中标人在本项目服务过程中若有违反相关法律法规等事项，造成较为恶劣社会影响的，招标人将提请相关主管部门对其进行处罚。</w:t>
      </w:r>
    </w:p>
    <w:p w14:paraId="73A78667">
      <w:pPr>
        <w:pStyle w:val="6"/>
        <w:spacing w:after="0" w:line="360" w:lineRule="auto"/>
        <w:ind w:left="0" w:leftChars="0" w:right="0" w:rightChars="0" w:firstLine="482" w:firstLineChars="200"/>
        <w:rPr>
          <w:rFonts w:hint="eastAsia" w:ascii="Times New Roman" w:hAnsi="Times New Roman" w:eastAsia="宋体" w:cs="Times New Roman"/>
          <w:b/>
          <w:bCs/>
          <w:kern w:val="2"/>
          <w:sz w:val="24"/>
          <w:szCs w:val="24"/>
          <w:lang w:val="en-US" w:eastAsia="zh-CN" w:bidi="ar-SA"/>
        </w:rPr>
      </w:pPr>
      <w:r>
        <w:rPr>
          <w:rFonts w:hint="eastAsia" w:eastAsia="宋体" w:cs="Times New Roman"/>
          <w:b/>
          <w:bCs/>
          <w:kern w:val="2"/>
          <w:sz w:val="24"/>
          <w:szCs w:val="24"/>
          <w:lang w:val="en-US" w:eastAsia="zh-CN" w:bidi="ar-SA"/>
        </w:rPr>
        <w:t>五</w:t>
      </w:r>
      <w:r>
        <w:rPr>
          <w:rFonts w:hint="eastAsia" w:ascii="Times New Roman" w:hAnsi="Times New Roman" w:eastAsia="宋体" w:cs="Times New Roman"/>
          <w:b/>
          <w:bCs/>
          <w:kern w:val="2"/>
          <w:sz w:val="24"/>
          <w:szCs w:val="24"/>
          <w:lang w:val="en-US" w:eastAsia="zh-CN" w:bidi="ar-SA"/>
        </w:rPr>
        <w:t>、特别说明</w:t>
      </w:r>
    </w:p>
    <w:p w14:paraId="3C50A402">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投标人应充分考虑所有可能影响到报价的价格及政策等风险因素，一旦中标，服务总价将包定，一律不予调整。</w:t>
      </w:r>
    </w:p>
    <w:p w14:paraId="3790E723">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报价中应考虑因招标人工作需要安排的其他工作所产生的相关费用。</w:t>
      </w:r>
    </w:p>
    <w:p w14:paraId="6A9D2253">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投标人的任何错漏、优惠报价不得作为减轻责任、减少服务、增加收费、降低质量的理由。</w:t>
      </w:r>
    </w:p>
    <w:p w14:paraId="19C64E2E">
      <w:pPr>
        <w:pStyle w:val="6"/>
        <w:spacing w:after="0" w:line="360" w:lineRule="auto"/>
        <w:ind w:left="0" w:leftChars="0" w:right="0" w:rightChars="0"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投标人报价除包含询价文件中列明的项目外还应包括保障服务正常运行应当具有的物资和服务，对服务正常运行应当具有的物资和服务理解不一致的以招标人理解为准。</w:t>
      </w:r>
    </w:p>
    <w:p w14:paraId="3A54F48E">
      <w:pPr>
        <w:rPr>
          <w:rFonts w:hint="eastAsia"/>
          <w:lang w:val="en-US" w:eastAsia="zh-CN"/>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szCs w:val="24"/>
        </w:rPr>
        <w:br w:type="page"/>
      </w:r>
    </w:p>
    <w:p w14:paraId="611C6A96">
      <w:pPr>
        <w:numPr>
          <w:ilvl w:val="0"/>
          <w:numId w:val="0"/>
        </w:numPr>
        <w:spacing w:line="400" w:lineRule="exact"/>
        <w:rPr>
          <w:rFonts w:ascii="宋体" w:hAnsi="宋体"/>
          <w:b/>
          <w:color w:val="FF0000"/>
          <w:sz w:val="36"/>
          <w:szCs w:val="36"/>
        </w:rPr>
      </w:pPr>
      <w:r>
        <w:rPr>
          <w:rFonts w:hint="eastAsia" w:ascii="宋体" w:hAnsi="宋体"/>
          <w:b/>
          <w:sz w:val="36"/>
          <w:szCs w:val="36"/>
        </w:rPr>
        <w:t>响应文件格式</w:t>
      </w:r>
    </w:p>
    <w:p w14:paraId="404FC6C8">
      <w:pPr>
        <w:spacing w:line="350" w:lineRule="exact"/>
        <w:jc w:val="center"/>
        <w:rPr>
          <w:rFonts w:ascii="宋体" w:hAnsi="宋体"/>
          <w:b/>
          <w:color w:val="FF0000"/>
          <w:sz w:val="30"/>
        </w:rPr>
      </w:pPr>
    </w:p>
    <w:p w14:paraId="187F5BF8">
      <w:pPr>
        <w:spacing w:line="440" w:lineRule="exact"/>
        <w:ind w:firstLine="480" w:firstLineChars="200"/>
        <w:rPr>
          <w:rFonts w:ascii="宋体" w:hAnsi="宋体"/>
        </w:rPr>
      </w:pPr>
    </w:p>
    <w:p w14:paraId="3694C0FB">
      <w:pPr>
        <w:spacing w:line="440" w:lineRule="exact"/>
        <w:ind w:left="-161" w:leftChars="-67"/>
        <w:rPr>
          <w:rFonts w:ascii="宋体" w:hAnsi="宋体"/>
          <w:b/>
        </w:rPr>
      </w:pPr>
      <w:r>
        <w:rPr>
          <w:rFonts w:hint="eastAsia" w:ascii="宋体" w:hAnsi="宋体"/>
          <w:b/>
        </w:rPr>
        <w:t>1、请各响应人按后面格式制作响应文件，不按此格式制作的响应文件一律作无效处理。</w:t>
      </w:r>
    </w:p>
    <w:p w14:paraId="76A6AD35">
      <w:pPr>
        <w:spacing w:line="440" w:lineRule="exact"/>
        <w:ind w:left="-161" w:leftChars="-67"/>
        <w:rPr>
          <w:rFonts w:ascii="宋体" w:hAnsi="宋体"/>
          <w:b/>
        </w:rPr>
      </w:pPr>
      <w:r>
        <w:rPr>
          <w:rFonts w:hint="eastAsia" w:ascii="宋体" w:hAnsi="宋体"/>
          <w:b/>
        </w:rPr>
        <w:t>2、未给出格式的，响应人可自拟格式。</w:t>
      </w:r>
    </w:p>
    <w:p w14:paraId="3D3574B9">
      <w:pPr>
        <w:spacing w:line="440" w:lineRule="exact"/>
        <w:ind w:left="-161" w:leftChars="-67"/>
        <w:rPr>
          <w:rFonts w:ascii="宋体" w:hAnsi="宋体"/>
          <w:b/>
        </w:rPr>
      </w:pPr>
      <w:r>
        <w:rPr>
          <w:rFonts w:hint="eastAsia" w:ascii="宋体" w:hAnsi="宋体"/>
          <w:b/>
        </w:rPr>
        <w:t>3、凡综合评分的项目，采购人将针对响应人制作响应文件的响应程度打分。</w:t>
      </w:r>
    </w:p>
    <w:p w14:paraId="08E640E2">
      <w:pPr>
        <w:spacing w:line="440" w:lineRule="exact"/>
        <w:ind w:left="-161" w:leftChars="-67"/>
        <w:rPr>
          <w:rFonts w:ascii="宋体" w:hAnsi="宋体"/>
          <w:b/>
        </w:rPr>
      </w:pPr>
    </w:p>
    <w:p w14:paraId="49042FE0">
      <w:pPr>
        <w:spacing w:line="440" w:lineRule="exact"/>
        <w:ind w:left="-161" w:leftChars="-67"/>
        <w:rPr>
          <w:rFonts w:ascii="宋体" w:hAnsi="宋体"/>
          <w:b/>
        </w:rPr>
      </w:pPr>
    </w:p>
    <w:p w14:paraId="6C804288">
      <w:pPr>
        <w:spacing w:line="440" w:lineRule="exact"/>
        <w:ind w:left="-161" w:leftChars="-67"/>
        <w:rPr>
          <w:rFonts w:ascii="宋体" w:hAnsi="宋体"/>
          <w:b/>
        </w:rPr>
      </w:pPr>
    </w:p>
    <w:p w14:paraId="783A1D3F">
      <w:pPr>
        <w:spacing w:line="440" w:lineRule="exact"/>
        <w:ind w:left="-161" w:leftChars="-67"/>
        <w:rPr>
          <w:rFonts w:ascii="宋体" w:hAnsi="宋体"/>
          <w:b/>
        </w:rPr>
      </w:pPr>
    </w:p>
    <w:p w14:paraId="01C0C361">
      <w:pPr>
        <w:spacing w:line="440" w:lineRule="exact"/>
        <w:ind w:left="-161" w:leftChars="-67"/>
        <w:rPr>
          <w:rFonts w:ascii="宋体" w:hAnsi="宋体"/>
          <w:b/>
        </w:rPr>
      </w:pPr>
    </w:p>
    <w:p w14:paraId="3940B66F">
      <w:pPr>
        <w:spacing w:line="440" w:lineRule="exact"/>
        <w:ind w:left="-161" w:leftChars="-67"/>
        <w:rPr>
          <w:rFonts w:ascii="宋体" w:hAnsi="宋体"/>
          <w:b/>
        </w:rPr>
      </w:pPr>
    </w:p>
    <w:p w14:paraId="6FF83967">
      <w:pPr>
        <w:spacing w:line="440" w:lineRule="exact"/>
        <w:ind w:left="-161" w:leftChars="-67"/>
        <w:rPr>
          <w:rFonts w:ascii="宋体" w:hAnsi="宋体"/>
          <w:b/>
        </w:rPr>
      </w:pPr>
    </w:p>
    <w:p w14:paraId="24DB8883">
      <w:pPr>
        <w:pStyle w:val="6"/>
        <w:ind w:left="1680" w:right="1680"/>
        <w:rPr>
          <w:rFonts w:ascii="宋体" w:hAnsi="宋体"/>
          <w:b/>
        </w:rPr>
      </w:pPr>
    </w:p>
    <w:p w14:paraId="14E0A001">
      <w:pPr>
        <w:pStyle w:val="6"/>
        <w:ind w:left="1680" w:right="1680"/>
        <w:rPr>
          <w:rFonts w:ascii="宋体" w:hAnsi="宋体"/>
          <w:b/>
        </w:rPr>
      </w:pPr>
    </w:p>
    <w:p w14:paraId="174BB219">
      <w:pPr>
        <w:pStyle w:val="6"/>
        <w:ind w:left="1680" w:right="1680"/>
        <w:rPr>
          <w:rFonts w:ascii="宋体" w:hAnsi="宋体"/>
          <w:b/>
        </w:rPr>
      </w:pPr>
    </w:p>
    <w:p w14:paraId="6CB47968">
      <w:pPr>
        <w:pStyle w:val="6"/>
        <w:ind w:left="1680" w:right="1680"/>
        <w:rPr>
          <w:rFonts w:ascii="宋体" w:hAnsi="宋体"/>
          <w:b/>
        </w:rPr>
      </w:pPr>
    </w:p>
    <w:p w14:paraId="5365357D">
      <w:pPr>
        <w:pStyle w:val="6"/>
        <w:ind w:left="1680" w:right="1680"/>
        <w:rPr>
          <w:rFonts w:ascii="宋体" w:hAnsi="宋体"/>
          <w:b/>
        </w:rPr>
      </w:pPr>
    </w:p>
    <w:p w14:paraId="05826687">
      <w:pPr>
        <w:pStyle w:val="6"/>
        <w:ind w:left="1680" w:right="1680"/>
        <w:rPr>
          <w:rFonts w:ascii="宋体" w:hAnsi="宋体"/>
          <w:b/>
        </w:rPr>
      </w:pPr>
    </w:p>
    <w:p w14:paraId="619455A2">
      <w:pPr>
        <w:pStyle w:val="6"/>
        <w:ind w:left="1680" w:right="1680"/>
        <w:rPr>
          <w:rFonts w:ascii="宋体" w:hAnsi="宋体"/>
          <w:b/>
        </w:rPr>
      </w:pPr>
    </w:p>
    <w:p w14:paraId="6D390AB2">
      <w:pPr>
        <w:pStyle w:val="6"/>
        <w:ind w:left="1680" w:right="1680"/>
        <w:rPr>
          <w:rFonts w:ascii="宋体" w:hAnsi="宋体"/>
          <w:b/>
        </w:rPr>
      </w:pPr>
    </w:p>
    <w:p w14:paraId="4EE4E18B">
      <w:pPr>
        <w:pStyle w:val="6"/>
        <w:ind w:left="1680" w:right="1680"/>
        <w:rPr>
          <w:rFonts w:ascii="宋体" w:hAnsi="宋体"/>
          <w:b/>
        </w:rPr>
      </w:pPr>
    </w:p>
    <w:p w14:paraId="4DDB57FD">
      <w:pPr>
        <w:pStyle w:val="6"/>
        <w:ind w:left="1680" w:right="1680"/>
        <w:rPr>
          <w:rFonts w:ascii="宋体" w:hAnsi="宋体"/>
          <w:b/>
        </w:rPr>
      </w:pPr>
    </w:p>
    <w:p w14:paraId="4809C275">
      <w:pPr>
        <w:pStyle w:val="6"/>
        <w:ind w:left="1680" w:right="1680"/>
        <w:rPr>
          <w:rFonts w:ascii="宋体" w:hAnsi="宋体"/>
          <w:b/>
        </w:rPr>
      </w:pPr>
    </w:p>
    <w:p w14:paraId="7B1C4127">
      <w:pPr>
        <w:pStyle w:val="6"/>
        <w:ind w:left="1680" w:right="1680"/>
        <w:rPr>
          <w:rFonts w:ascii="宋体" w:hAnsi="宋体"/>
          <w:b/>
        </w:rPr>
      </w:pPr>
    </w:p>
    <w:p w14:paraId="1524FA33">
      <w:pPr>
        <w:pStyle w:val="6"/>
        <w:ind w:left="1680" w:right="1680"/>
        <w:rPr>
          <w:rFonts w:ascii="宋体" w:hAnsi="宋体"/>
          <w:b/>
        </w:rPr>
      </w:pPr>
    </w:p>
    <w:p w14:paraId="3EFDC592">
      <w:pPr>
        <w:spacing w:line="440" w:lineRule="exact"/>
        <w:rPr>
          <w:rFonts w:ascii="宋体" w:hAnsi="宋体"/>
          <w:b/>
        </w:rPr>
      </w:pPr>
    </w:p>
    <w:p w14:paraId="00E3C33B">
      <w:pPr>
        <w:spacing w:line="440" w:lineRule="exact"/>
        <w:ind w:left="-161" w:leftChars="-67"/>
        <w:rPr>
          <w:rFonts w:ascii="宋体" w:hAnsi="宋体"/>
          <w:b/>
        </w:rPr>
      </w:pPr>
    </w:p>
    <w:p w14:paraId="5BAC8837">
      <w:pPr>
        <w:jc w:val="center"/>
        <w:rPr>
          <w:rFonts w:ascii="宋体" w:hAnsi="宋体"/>
          <w:b/>
          <w:sz w:val="72"/>
        </w:rPr>
      </w:pPr>
    </w:p>
    <w:p w14:paraId="77813262">
      <w:pPr>
        <w:jc w:val="center"/>
        <w:rPr>
          <w:rFonts w:ascii="宋体" w:hAnsi="宋体"/>
          <w:b/>
          <w:sz w:val="72"/>
        </w:rPr>
      </w:pPr>
    </w:p>
    <w:p w14:paraId="38BACF42">
      <w:pPr>
        <w:jc w:val="center"/>
        <w:rPr>
          <w:rFonts w:ascii="宋体" w:hAnsi="宋体"/>
          <w:b/>
          <w:sz w:val="72"/>
        </w:rPr>
      </w:pPr>
    </w:p>
    <w:p w14:paraId="35942AF7">
      <w:pPr>
        <w:jc w:val="center"/>
        <w:rPr>
          <w:rFonts w:ascii="宋体" w:hAnsi="宋体"/>
          <w:b/>
          <w:sz w:val="72"/>
        </w:rPr>
      </w:pPr>
    </w:p>
    <w:p w14:paraId="33768CD5">
      <w:pPr>
        <w:jc w:val="center"/>
        <w:rPr>
          <w:rFonts w:ascii="宋体" w:hAnsi="宋体"/>
          <w:b/>
          <w:sz w:val="72"/>
        </w:rPr>
      </w:pPr>
      <w:r>
        <w:rPr>
          <w:rFonts w:hint="eastAsia" w:ascii="宋体" w:hAnsi="宋体"/>
          <w:b/>
          <w:sz w:val="72"/>
        </w:rPr>
        <w:t>响 应 文 件</w:t>
      </w:r>
    </w:p>
    <w:p w14:paraId="7BE4C563">
      <w:pPr>
        <w:jc w:val="center"/>
        <w:rPr>
          <w:rFonts w:ascii="宋体" w:hAnsi="宋体"/>
          <w:b/>
          <w:sz w:val="72"/>
        </w:rPr>
      </w:pPr>
    </w:p>
    <w:p w14:paraId="4B9F01B9">
      <w:pPr>
        <w:jc w:val="center"/>
        <w:rPr>
          <w:rFonts w:ascii="宋体" w:hAnsi="宋体"/>
          <w:b/>
          <w:sz w:val="72"/>
        </w:rPr>
      </w:pPr>
    </w:p>
    <w:p w14:paraId="44BB49B1">
      <w:pPr>
        <w:jc w:val="center"/>
        <w:rPr>
          <w:rFonts w:ascii="宋体" w:hAnsi="宋体"/>
          <w:b/>
          <w:sz w:val="36"/>
        </w:rPr>
      </w:pPr>
    </w:p>
    <w:p w14:paraId="6DB5A8D6">
      <w:pPr>
        <w:jc w:val="center"/>
        <w:rPr>
          <w:rFonts w:ascii="宋体" w:hAnsi="宋体"/>
          <w:b/>
          <w:sz w:val="36"/>
        </w:rPr>
      </w:pPr>
    </w:p>
    <w:p w14:paraId="1091E958">
      <w:pPr>
        <w:jc w:val="center"/>
        <w:rPr>
          <w:rFonts w:ascii="宋体" w:hAnsi="宋体"/>
          <w:b/>
          <w:sz w:val="36"/>
        </w:rPr>
      </w:pPr>
    </w:p>
    <w:p w14:paraId="0B45EE67">
      <w:pPr>
        <w:ind w:firstLine="1084" w:firstLineChars="300"/>
        <w:rPr>
          <w:rFonts w:ascii="宋体" w:hAnsi="宋体"/>
          <w:b/>
          <w:sz w:val="36"/>
        </w:rPr>
      </w:pPr>
      <w:r>
        <w:rPr>
          <w:rFonts w:hint="eastAsia" w:ascii="宋体" w:hAnsi="宋体"/>
          <w:b/>
          <w:sz w:val="36"/>
        </w:rPr>
        <w:t>响应项目名称：</w:t>
      </w:r>
      <w:r>
        <w:rPr>
          <w:rFonts w:hint="eastAsia" w:ascii="宋体" w:hAnsi="宋体"/>
          <w:b/>
          <w:sz w:val="36"/>
          <w:u w:val="single"/>
        </w:rPr>
        <w:t xml:space="preserve">               </w:t>
      </w:r>
    </w:p>
    <w:p w14:paraId="29EFB226">
      <w:pPr>
        <w:ind w:firstLine="1084" w:firstLineChars="300"/>
        <w:rPr>
          <w:rFonts w:ascii="宋体" w:hAnsi="宋体"/>
          <w:b/>
          <w:sz w:val="36"/>
          <w:u w:val="single"/>
        </w:rPr>
      </w:pPr>
      <w:r>
        <w:rPr>
          <w:rFonts w:hint="eastAsia" w:ascii="宋体" w:hAnsi="宋体"/>
          <w:b/>
          <w:sz w:val="36"/>
        </w:rPr>
        <w:t>响应项目编号：</w:t>
      </w:r>
      <w:r>
        <w:rPr>
          <w:rFonts w:hint="eastAsia" w:ascii="宋体" w:hAnsi="宋体"/>
          <w:b/>
          <w:sz w:val="36"/>
          <w:u w:val="single"/>
        </w:rPr>
        <w:t xml:space="preserve">               </w:t>
      </w:r>
    </w:p>
    <w:p w14:paraId="4C29D79D">
      <w:pPr>
        <w:rPr>
          <w:rFonts w:ascii="宋体" w:hAnsi="宋体"/>
          <w:b/>
          <w:sz w:val="36"/>
          <w:u w:val="single"/>
        </w:rPr>
      </w:pPr>
      <w:r>
        <w:rPr>
          <w:rFonts w:hint="eastAsia" w:ascii="宋体" w:hAnsi="宋体"/>
          <w:b/>
          <w:sz w:val="36"/>
        </w:rPr>
        <w:t xml:space="preserve">      响应单位名称：</w:t>
      </w:r>
      <w:r>
        <w:rPr>
          <w:rFonts w:hint="eastAsia" w:ascii="宋体" w:hAnsi="宋体"/>
          <w:b/>
          <w:sz w:val="36"/>
          <w:u w:val="single"/>
        </w:rPr>
        <w:t xml:space="preserve">               </w:t>
      </w:r>
    </w:p>
    <w:p w14:paraId="1D9F41CC">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66D2D2CE">
      <w:pPr>
        <w:ind w:firstLine="1084" w:firstLineChars="300"/>
        <w:rPr>
          <w:rFonts w:ascii="宋体" w:hAnsi="宋体"/>
          <w:b/>
          <w:sz w:val="36"/>
        </w:rPr>
      </w:pPr>
      <w:r>
        <w:rPr>
          <w:rFonts w:hint="eastAsia" w:ascii="宋体" w:hAnsi="宋体"/>
          <w:b/>
          <w:sz w:val="36"/>
        </w:rPr>
        <w:t>授权代理人 ：</w:t>
      </w:r>
      <w:r>
        <w:rPr>
          <w:rFonts w:hint="eastAsia" w:ascii="宋体" w:hAnsi="宋体"/>
          <w:b/>
          <w:sz w:val="36"/>
          <w:u w:val="single"/>
        </w:rPr>
        <w:t xml:space="preserve">               </w:t>
      </w:r>
      <w:r>
        <w:rPr>
          <w:rFonts w:hint="eastAsia" w:ascii="宋体" w:hAnsi="宋体"/>
          <w:b/>
          <w:sz w:val="36"/>
        </w:rPr>
        <w:t xml:space="preserve">                </w:t>
      </w:r>
    </w:p>
    <w:p w14:paraId="4828A027">
      <w:pPr>
        <w:ind w:firstLine="1084" w:firstLineChars="300"/>
        <w:rPr>
          <w:rFonts w:ascii="宋体" w:hAnsi="宋体"/>
          <w:b/>
          <w:bCs/>
          <w:sz w:val="32"/>
          <w:szCs w:val="32"/>
        </w:rPr>
      </w:pPr>
      <w:r>
        <w:rPr>
          <w:rFonts w:hint="eastAsia" w:ascii="宋体" w:hAnsi="宋体"/>
          <w:b/>
          <w:sz w:val="36"/>
        </w:rPr>
        <w:t>联 系 电 话：</w:t>
      </w:r>
      <w:r>
        <w:rPr>
          <w:rFonts w:hint="eastAsia" w:ascii="宋体" w:hAnsi="宋体"/>
          <w:b/>
          <w:sz w:val="36"/>
          <w:u w:val="single"/>
        </w:rPr>
        <w:t xml:space="preserve">               </w:t>
      </w:r>
    </w:p>
    <w:p w14:paraId="0C43E589">
      <w:pPr>
        <w:spacing w:line="440" w:lineRule="exact"/>
        <w:jc w:val="center"/>
        <w:rPr>
          <w:rFonts w:ascii="宋体" w:hAnsi="宋体"/>
          <w:b/>
          <w:bCs/>
          <w:sz w:val="32"/>
          <w:szCs w:val="32"/>
        </w:rPr>
      </w:pPr>
    </w:p>
    <w:p w14:paraId="04B415DF">
      <w:pPr>
        <w:spacing w:line="440" w:lineRule="exact"/>
        <w:jc w:val="center"/>
        <w:rPr>
          <w:rFonts w:ascii="宋体" w:hAnsi="宋体"/>
          <w:b/>
          <w:sz w:val="30"/>
          <w:szCs w:val="30"/>
        </w:rPr>
      </w:pPr>
      <w:r>
        <w:rPr>
          <w:rFonts w:hint="eastAsia" w:ascii="宋体" w:hAnsi="宋体"/>
          <w:b/>
          <w:sz w:val="30"/>
          <w:szCs w:val="30"/>
        </w:rPr>
        <w:br w:type="page"/>
      </w:r>
    </w:p>
    <w:p w14:paraId="10B92724">
      <w:pPr>
        <w:spacing w:line="440" w:lineRule="exact"/>
        <w:jc w:val="center"/>
        <w:rPr>
          <w:rFonts w:ascii="宋体" w:hAnsi="宋体"/>
          <w:b/>
          <w:sz w:val="30"/>
          <w:szCs w:val="30"/>
        </w:rPr>
      </w:pPr>
      <w:r>
        <w:rPr>
          <w:rFonts w:hint="eastAsia" w:ascii="宋体" w:hAnsi="宋体"/>
          <w:b/>
          <w:sz w:val="30"/>
          <w:szCs w:val="30"/>
        </w:rPr>
        <w:t>评分索引表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6141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vAlign w:val="center"/>
          </w:tcPr>
          <w:p w14:paraId="59AA5A77">
            <w:pPr>
              <w:jc w:val="center"/>
              <w:rPr>
                <w:rFonts w:ascii="宋体" w:hAnsi="宋体"/>
              </w:rPr>
            </w:pPr>
            <w:r>
              <w:rPr>
                <w:rFonts w:hint="eastAsia" w:ascii="宋体" w:hAnsi="宋体"/>
                <w:b/>
                <w:kern w:val="0"/>
                <w:lang w:bidi="en-US"/>
              </w:rPr>
              <w:t>评分项目</w:t>
            </w:r>
          </w:p>
        </w:tc>
        <w:tc>
          <w:tcPr>
            <w:tcW w:w="3570" w:type="dxa"/>
            <w:vAlign w:val="center"/>
          </w:tcPr>
          <w:p w14:paraId="134711A6">
            <w:pPr>
              <w:jc w:val="center"/>
              <w:rPr>
                <w:rFonts w:ascii="宋体" w:hAnsi="宋体"/>
                <w:b/>
              </w:rPr>
            </w:pPr>
            <w:r>
              <w:rPr>
                <w:rFonts w:hint="eastAsia" w:ascii="宋体" w:hAnsi="宋体"/>
                <w:b/>
                <w:kern w:val="0"/>
                <w:lang w:bidi="en-US"/>
              </w:rPr>
              <w:t>在响应文件中的页码位置</w:t>
            </w:r>
          </w:p>
        </w:tc>
      </w:tr>
      <w:tr w14:paraId="2C2C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3DCDF735">
            <w:pPr>
              <w:jc w:val="center"/>
              <w:rPr>
                <w:rFonts w:ascii="宋体" w:hAnsi="宋体"/>
              </w:rPr>
            </w:pPr>
          </w:p>
        </w:tc>
        <w:tc>
          <w:tcPr>
            <w:tcW w:w="3570" w:type="dxa"/>
            <w:vAlign w:val="center"/>
          </w:tcPr>
          <w:p w14:paraId="7F0DA7CC">
            <w:pPr>
              <w:jc w:val="center"/>
              <w:rPr>
                <w:rFonts w:ascii="宋体" w:hAnsi="宋体"/>
                <w:b/>
                <w:kern w:val="0"/>
                <w:lang w:bidi="en-US"/>
              </w:rPr>
            </w:pPr>
          </w:p>
        </w:tc>
      </w:tr>
      <w:tr w14:paraId="2FE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6704E477">
            <w:pPr>
              <w:jc w:val="center"/>
              <w:rPr>
                <w:rFonts w:ascii="宋体" w:hAnsi="宋体"/>
              </w:rPr>
            </w:pPr>
          </w:p>
        </w:tc>
        <w:tc>
          <w:tcPr>
            <w:tcW w:w="3570" w:type="dxa"/>
            <w:vAlign w:val="center"/>
          </w:tcPr>
          <w:p w14:paraId="0871A718">
            <w:pPr>
              <w:jc w:val="center"/>
              <w:rPr>
                <w:rFonts w:ascii="宋体" w:hAnsi="宋体"/>
              </w:rPr>
            </w:pPr>
          </w:p>
        </w:tc>
      </w:tr>
      <w:tr w14:paraId="71C1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6B18A4B2">
            <w:pPr>
              <w:jc w:val="center"/>
              <w:rPr>
                <w:rFonts w:ascii="宋体" w:hAnsi="宋体"/>
              </w:rPr>
            </w:pPr>
          </w:p>
        </w:tc>
        <w:tc>
          <w:tcPr>
            <w:tcW w:w="3570" w:type="dxa"/>
            <w:vAlign w:val="center"/>
          </w:tcPr>
          <w:p w14:paraId="1B70416C">
            <w:pPr>
              <w:jc w:val="center"/>
              <w:rPr>
                <w:rFonts w:ascii="宋体" w:hAnsi="宋体"/>
              </w:rPr>
            </w:pPr>
          </w:p>
        </w:tc>
      </w:tr>
      <w:tr w14:paraId="1CE7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45AAD82D">
            <w:pPr>
              <w:jc w:val="center"/>
              <w:rPr>
                <w:rFonts w:ascii="宋体" w:hAnsi="宋体"/>
              </w:rPr>
            </w:pPr>
          </w:p>
        </w:tc>
        <w:tc>
          <w:tcPr>
            <w:tcW w:w="3570" w:type="dxa"/>
            <w:vAlign w:val="center"/>
          </w:tcPr>
          <w:p w14:paraId="140998E0">
            <w:pPr>
              <w:jc w:val="center"/>
              <w:rPr>
                <w:rFonts w:ascii="宋体" w:hAnsi="宋体"/>
              </w:rPr>
            </w:pPr>
          </w:p>
        </w:tc>
      </w:tr>
      <w:tr w14:paraId="51DD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59989B96">
            <w:pPr>
              <w:jc w:val="center"/>
              <w:rPr>
                <w:rFonts w:ascii="宋体" w:hAnsi="宋体"/>
              </w:rPr>
            </w:pPr>
          </w:p>
        </w:tc>
        <w:tc>
          <w:tcPr>
            <w:tcW w:w="3570" w:type="dxa"/>
            <w:vAlign w:val="center"/>
          </w:tcPr>
          <w:p w14:paraId="705690D1">
            <w:pPr>
              <w:jc w:val="center"/>
              <w:rPr>
                <w:rFonts w:ascii="宋体" w:hAnsi="宋体"/>
              </w:rPr>
            </w:pPr>
          </w:p>
        </w:tc>
      </w:tr>
      <w:tr w14:paraId="448E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27E0B637">
            <w:pPr>
              <w:jc w:val="center"/>
              <w:rPr>
                <w:rFonts w:ascii="宋体" w:hAnsi="宋体"/>
              </w:rPr>
            </w:pPr>
          </w:p>
        </w:tc>
        <w:tc>
          <w:tcPr>
            <w:tcW w:w="3570" w:type="dxa"/>
            <w:vAlign w:val="center"/>
          </w:tcPr>
          <w:p w14:paraId="6CA71FEB">
            <w:pPr>
              <w:jc w:val="center"/>
              <w:rPr>
                <w:rFonts w:ascii="宋体" w:hAnsi="宋体"/>
              </w:rPr>
            </w:pPr>
          </w:p>
        </w:tc>
      </w:tr>
      <w:tr w14:paraId="13D4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32C4ADD9">
            <w:pPr>
              <w:jc w:val="center"/>
              <w:rPr>
                <w:rFonts w:ascii="宋体" w:hAnsi="宋体"/>
              </w:rPr>
            </w:pPr>
          </w:p>
        </w:tc>
        <w:tc>
          <w:tcPr>
            <w:tcW w:w="3570" w:type="dxa"/>
            <w:vAlign w:val="center"/>
          </w:tcPr>
          <w:p w14:paraId="28D9A9FD">
            <w:pPr>
              <w:jc w:val="center"/>
              <w:rPr>
                <w:rFonts w:ascii="宋体" w:hAnsi="宋体"/>
              </w:rPr>
            </w:pPr>
          </w:p>
        </w:tc>
      </w:tr>
      <w:tr w14:paraId="7DF6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546CEB5C">
            <w:pPr>
              <w:jc w:val="center"/>
              <w:rPr>
                <w:rFonts w:ascii="宋体" w:hAnsi="宋体"/>
              </w:rPr>
            </w:pPr>
          </w:p>
        </w:tc>
        <w:tc>
          <w:tcPr>
            <w:tcW w:w="3570" w:type="dxa"/>
            <w:vAlign w:val="center"/>
          </w:tcPr>
          <w:p w14:paraId="58DBFCBB">
            <w:pPr>
              <w:jc w:val="center"/>
              <w:rPr>
                <w:rFonts w:ascii="宋体" w:hAnsi="宋体"/>
              </w:rPr>
            </w:pPr>
          </w:p>
        </w:tc>
      </w:tr>
      <w:tr w14:paraId="512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08235822">
            <w:pPr>
              <w:jc w:val="center"/>
              <w:rPr>
                <w:rFonts w:ascii="宋体" w:hAnsi="宋体"/>
              </w:rPr>
            </w:pPr>
          </w:p>
        </w:tc>
        <w:tc>
          <w:tcPr>
            <w:tcW w:w="3570" w:type="dxa"/>
            <w:vAlign w:val="center"/>
          </w:tcPr>
          <w:p w14:paraId="7491BBA8">
            <w:pPr>
              <w:jc w:val="center"/>
              <w:rPr>
                <w:rFonts w:ascii="宋体" w:hAnsi="宋体"/>
              </w:rPr>
            </w:pPr>
          </w:p>
        </w:tc>
      </w:tr>
      <w:tr w14:paraId="7909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52279507">
            <w:pPr>
              <w:jc w:val="center"/>
              <w:rPr>
                <w:rFonts w:ascii="宋体" w:hAnsi="宋体"/>
              </w:rPr>
            </w:pPr>
          </w:p>
        </w:tc>
        <w:tc>
          <w:tcPr>
            <w:tcW w:w="3570" w:type="dxa"/>
            <w:vAlign w:val="center"/>
          </w:tcPr>
          <w:p w14:paraId="098CA1AF">
            <w:pPr>
              <w:jc w:val="center"/>
              <w:rPr>
                <w:rFonts w:ascii="宋体" w:hAnsi="宋体"/>
              </w:rPr>
            </w:pPr>
          </w:p>
        </w:tc>
      </w:tr>
      <w:tr w14:paraId="29DF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15B17FE5">
            <w:pPr>
              <w:jc w:val="center"/>
              <w:rPr>
                <w:rFonts w:ascii="宋体" w:hAnsi="宋体"/>
              </w:rPr>
            </w:pPr>
          </w:p>
        </w:tc>
        <w:tc>
          <w:tcPr>
            <w:tcW w:w="3570" w:type="dxa"/>
            <w:vAlign w:val="center"/>
          </w:tcPr>
          <w:p w14:paraId="3BE97B5A">
            <w:pPr>
              <w:jc w:val="center"/>
              <w:rPr>
                <w:rFonts w:ascii="宋体" w:hAnsi="宋体"/>
              </w:rPr>
            </w:pPr>
          </w:p>
        </w:tc>
      </w:tr>
      <w:tr w14:paraId="0CA9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33DE83A6">
            <w:pPr>
              <w:jc w:val="center"/>
              <w:rPr>
                <w:rFonts w:ascii="宋体" w:hAnsi="宋体"/>
              </w:rPr>
            </w:pPr>
          </w:p>
        </w:tc>
        <w:tc>
          <w:tcPr>
            <w:tcW w:w="3570" w:type="dxa"/>
            <w:vAlign w:val="center"/>
          </w:tcPr>
          <w:p w14:paraId="6B8060AA">
            <w:pPr>
              <w:jc w:val="center"/>
              <w:rPr>
                <w:rFonts w:ascii="宋体" w:hAnsi="宋体"/>
              </w:rPr>
            </w:pPr>
          </w:p>
        </w:tc>
      </w:tr>
      <w:tr w14:paraId="1506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1E21C17F">
            <w:pPr>
              <w:jc w:val="center"/>
              <w:rPr>
                <w:rFonts w:ascii="宋体" w:hAnsi="宋体"/>
              </w:rPr>
            </w:pPr>
          </w:p>
        </w:tc>
        <w:tc>
          <w:tcPr>
            <w:tcW w:w="3570" w:type="dxa"/>
            <w:vAlign w:val="center"/>
          </w:tcPr>
          <w:p w14:paraId="499865AB">
            <w:pPr>
              <w:jc w:val="center"/>
              <w:rPr>
                <w:rFonts w:ascii="宋体" w:hAnsi="宋体"/>
              </w:rPr>
            </w:pPr>
          </w:p>
        </w:tc>
      </w:tr>
      <w:tr w14:paraId="21D4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6572654F">
            <w:pPr>
              <w:jc w:val="center"/>
              <w:rPr>
                <w:rFonts w:ascii="宋体" w:hAnsi="宋体"/>
              </w:rPr>
            </w:pPr>
          </w:p>
        </w:tc>
        <w:tc>
          <w:tcPr>
            <w:tcW w:w="3570" w:type="dxa"/>
            <w:vAlign w:val="center"/>
          </w:tcPr>
          <w:p w14:paraId="1C0515BF">
            <w:pPr>
              <w:jc w:val="center"/>
              <w:rPr>
                <w:rFonts w:ascii="宋体" w:hAnsi="宋体"/>
              </w:rPr>
            </w:pPr>
          </w:p>
        </w:tc>
      </w:tr>
      <w:tr w14:paraId="619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59C8C18E">
            <w:pPr>
              <w:jc w:val="center"/>
              <w:rPr>
                <w:rFonts w:ascii="宋体" w:hAnsi="宋体"/>
              </w:rPr>
            </w:pPr>
          </w:p>
        </w:tc>
        <w:tc>
          <w:tcPr>
            <w:tcW w:w="3570" w:type="dxa"/>
            <w:vAlign w:val="center"/>
          </w:tcPr>
          <w:p w14:paraId="69319260">
            <w:pPr>
              <w:jc w:val="center"/>
              <w:rPr>
                <w:rFonts w:ascii="宋体" w:hAnsi="宋体"/>
              </w:rPr>
            </w:pPr>
          </w:p>
        </w:tc>
      </w:tr>
      <w:tr w14:paraId="7BA2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1877009F">
            <w:pPr>
              <w:jc w:val="center"/>
              <w:rPr>
                <w:rFonts w:ascii="宋体" w:hAnsi="宋体"/>
              </w:rPr>
            </w:pPr>
          </w:p>
        </w:tc>
        <w:tc>
          <w:tcPr>
            <w:tcW w:w="3570" w:type="dxa"/>
            <w:vAlign w:val="center"/>
          </w:tcPr>
          <w:p w14:paraId="50323AA4">
            <w:pPr>
              <w:jc w:val="center"/>
              <w:rPr>
                <w:rFonts w:ascii="宋体" w:hAnsi="宋体"/>
              </w:rPr>
            </w:pPr>
          </w:p>
        </w:tc>
      </w:tr>
      <w:tr w14:paraId="7AB3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52253A51">
            <w:pPr>
              <w:jc w:val="center"/>
              <w:rPr>
                <w:rFonts w:ascii="宋体" w:hAnsi="宋体"/>
              </w:rPr>
            </w:pPr>
          </w:p>
        </w:tc>
        <w:tc>
          <w:tcPr>
            <w:tcW w:w="3570" w:type="dxa"/>
            <w:vAlign w:val="center"/>
          </w:tcPr>
          <w:p w14:paraId="00210135">
            <w:pPr>
              <w:jc w:val="center"/>
              <w:rPr>
                <w:rFonts w:ascii="宋体" w:hAnsi="宋体"/>
              </w:rPr>
            </w:pPr>
          </w:p>
        </w:tc>
      </w:tr>
      <w:tr w14:paraId="175B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vAlign w:val="center"/>
          </w:tcPr>
          <w:p w14:paraId="7762C8D6">
            <w:pPr>
              <w:jc w:val="center"/>
              <w:rPr>
                <w:rFonts w:ascii="宋体" w:hAnsi="宋体"/>
              </w:rPr>
            </w:pPr>
          </w:p>
        </w:tc>
        <w:tc>
          <w:tcPr>
            <w:tcW w:w="3570" w:type="dxa"/>
            <w:vAlign w:val="center"/>
          </w:tcPr>
          <w:p w14:paraId="1E2FC87F">
            <w:pPr>
              <w:jc w:val="center"/>
              <w:rPr>
                <w:rFonts w:ascii="宋体" w:hAnsi="宋体"/>
              </w:rPr>
            </w:pPr>
          </w:p>
        </w:tc>
      </w:tr>
      <w:tr w14:paraId="4872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0" w:type="dxa"/>
            <w:tcBorders>
              <w:bottom w:val="single" w:color="auto" w:sz="4" w:space="0"/>
            </w:tcBorders>
            <w:vAlign w:val="center"/>
          </w:tcPr>
          <w:p w14:paraId="25B24B08">
            <w:pPr>
              <w:jc w:val="center"/>
              <w:rPr>
                <w:rFonts w:ascii="宋体" w:hAnsi="宋体"/>
              </w:rPr>
            </w:pPr>
          </w:p>
        </w:tc>
        <w:tc>
          <w:tcPr>
            <w:tcW w:w="3570" w:type="dxa"/>
            <w:tcBorders>
              <w:bottom w:val="single" w:color="auto" w:sz="4" w:space="0"/>
            </w:tcBorders>
            <w:vAlign w:val="center"/>
          </w:tcPr>
          <w:p w14:paraId="75384D99">
            <w:pPr>
              <w:jc w:val="center"/>
              <w:rPr>
                <w:rFonts w:ascii="宋体" w:hAnsi="宋体"/>
              </w:rPr>
            </w:pPr>
          </w:p>
        </w:tc>
      </w:tr>
    </w:tbl>
    <w:p w14:paraId="029FB6C6">
      <w:pPr>
        <w:jc w:val="center"/>
        <w:rPr>
          <w:sz w:val="28"/>
          <w:szCs w:val="28"/>
        </w:rPr>
      </w:pPr>
      <w:r>
        <w:rPr>
          <w:rFonts w:hint="eastAsia"/>
          <w:sz w:val="28"/>
          <w:szCs w:val="28"/>
        </w:rPr>
        <w:t>（说明：此表按照采购文件中综合评分标准表逐项填写）</w:t>
      </w:r>
    </w:p>
    <w:p w14:paraId="77AA9B43">
      <w:pPr>
        <w:pStyle w:val="6"/>
        <w:ind w:left="0" w:leftChars="0" w:right="1680"/>
      </w:pPr>
    </w:p>
    <w:p w14:paraId="3FE52E34">
      <w:pPr>
        <w:pStyle w:val="6"/>
        <w:ind w:left="1680" w:right="1680"/>
        <w:rPr>
          <w:rFonts w:ascii="宋体" w:hAnsi="宋体"/>
          <w:b/>
        </w:rPr>
      </w:pPr>
    </w:p>
    <w:p w14:paraId="099A3994">
      <w:pPr>
        <w:pStyle w:val="6"/>
        <w:ind w:left="1680" w:right="1680"/>
        <w:rPr>
          <w:rFonts w:ascii="宋体" w:hAnsi="宋体"/>
          <w:b/>
        </w:rPr>
      </w:pPr>
    </w:p>
    <w:p w14:paraId="4FF0F2AB">
      <w:pPr>
        <w:pStyle w:val="6"/>
        <w:ind w:left="1680" w:right="1680"/>
        <w:rPr>
          <w:rFonts w:ascii="宋体" w:hAnsi="宋体"/>
          <w:b/>
        </w:rPr>
      </w:pPr>
    </w:p>
    <w:p w14:paraId="1C11A4C8">
      <w:pPr>
        <w:pStyle w:val="6"/>
        <w:ind w:left="1680" w:right="1680"/>
        <w:rPr>
          <w:rFonts w:ascii="宋体" w:hAnsi="宋体"/>
          <w:b/>
        </w:rPr>
      </w:pPr>
    </w:p>
    <w:p w14:paraId="0BC78AB2">
      <w:pPr>
        <w:pStyle w:val="6"/>
        <w:ind w:left="1680" w:right="1680"/>
        <w:rPr>
          <w:rFonts w:ascii="宋体" w:hAnsi="宋体"/>
          <w:b/>
        </w:rPr>
      </w:pPr>
    </w:p>
    <w:p w14:paraId="4811BBD3">
      <w:pPr>
        <w:pStyle w:val="6"/>
        <w:ind w:left="1680" w:right="1680"/>
        <w:rPr>
          <w:rFonts w:ascii="宋体" w:hAnsi="宋体"/>
          <w:b/>
        </w:rPr>
      </w:pPr>
    </w:p>
    <w:p w14:paraId="04A84DE2">
      <w:pPr>
        <w:pStyle w:val="6"/>
        <w:ind w:left="1680" w:right="1680"/>
        <w:rPr>
          <w:rFonts w:ascii="宋体" w:hAnsi="宋体"/>
          <w:b/>
        </w:rPr>
      </w:pPr>
    </w:p>
    <w:p w14:paraId="380271BF">
      <w:pPr>
        <w:pStyle w:val="6"/>
        <w:ind w:left="1680" w:right="1680"/>
        <w:rPr>
          <w:rFonts w:ascii="宋体" w:hAnsi="宋体"/>
          <w:b/>
        </w:rPr>
      </w:pPr>
    </w:p>
    <w:p w14:paraId="56FF4AD7">
      <w:pPr>
        <w:pStyle w:val="6"/>
        <w:ind w:left="1680" w:right="1680"/>
        <w:rPr>
          <w:rFonts w:ascii="宋体" w:hAnsi="宋体"/>
          <w:b/>
        </w:rPr>
      </w:pPr>
    </w:p>
    <w:p w14:paraId="1D86D57B">
      <w:pPr>
        <w:rPr>
          <w:rFonts w:ascii="宋体" w:hAnsi="宋体"/>
          <w:b/>
          <w:bCs/>
          <w:sz w:val="32"/>
          <w:szCs w:val="32"/>
        </w:rPr>
      </w:pPr>
      <w:r>
        <w:rPr>
          <w:rFonts w:hint="eastAsia" w:ascii="宋体" w:hAnsi="宋体"/>
          <w:b/>
          <w:bCs/>
          <w:sz w:val="32"/>
          <w:szCs w:val="32"/>
        </w:rPr>
        <w:br w:type="page"/>
      </w:r>
    </w:p>
    <w:p w14:paraId="2415B2B2">
      <w:pPr>
        <w:jc w:val="center"/>
        <w:rPr>
          <w:rFonts w:ascii="宋体" w:hAnsi="宋体"/>
          <w:b/>
          <w:bCs/>
          <w:sz w:val="32"/>
          <w:szCs w:val="32"/>
        </w:rPr>
      </w:pPr>
      <w:r>
        <w:rPr>
          <w:rFonts w:hint="eastAsia" w:ascii="宋体" w:hAnsi="宋体"/>
          <w:b/>
          <w:bCs/>
          <w:sz w:val="32"/>
          <w:szCs w:val="32"/>
        </w:rPr>
        <w:t>响应文件目录</w:t>
      </w:r>
    </w:p>
    <w:p w14:paraId="50E5EC53">
      <w:pPr>
        <w:spacing w:line="440" w:lineRule="exact"/>
        <w:jc w:val="center"/>
        <w:rPr>
          <w:rFonts w:ascii="宋体" w:hAnsi="宋体"/>
          <w:b/>
        </w:rPr>
      </w:pPr>
      <w:r>
        <w:rPr>
          <w:rFonts w:hint="eastAsia" w:ascii="宋体" w:hAnsi="宋体"/>
          <w:b/>
        </w:rPr>
        <w:t>（注：须逐项标识页码）</w:t>
      </w:r>
    </w:p>
    <w:p w14:paraId="6459B9CD">
      <w:pPr>
        <w:spacing w:line="480" w:lineRule="exact"/>
        <w:rPr>
          <w:rFonts w:ascii="宋体" w:hAnsi="宋体"/>
        </w:rPr>
      </w:pPr>
    </w:p>
    <w:p w14:paraId="52E7FAFD">
      <w:pPr>
        <w:spacing w:line="440" w:lineRule="exact"/>
        <w:jc w:val="center"/>
        <w:rPr>
          <w:rFonts w:ascii="宋体" w:hAnsi="宋体"/>
          <w:b/>
          <w:sz w:val="30"/>
          <w:szCs w:val="30"/>
        </w:rPr>
      </w:pPr>
    </w:p>
    <w:p w14:paraId="14B4DBEE">
      <w:pPr>
        <w:pStyle w:val="6"/>
        <w:ind w:left="1680" w:right="1680"/>
        <w:rPr>
          <w:rFonts w:ascii="宋体" w:hAnsi="宋体"/>
          <w:b/>
          <w:sz w:val="30"/>
          <w:szCs w:val="30"/>
        </w:rPr>
      </w:pPr>
    </w:p>
    <w:p w14:paraId="1BFD7DC9">
      <w:pPr>
        <w:pStyle w:val="6"/>
        <w:ind w:left="1680" w:right="1680"/>
        <w:rPr>
          <w:rFonts w:ascii="宋体" w:hAnsi="宋体"/>
          <w:b/>
          <w:sz w:val="30"/>
          <w:szCs w:val="30"/>
        </w:rPr>
      </w:pPr>
    </w:p>
    <w:p w14:paraId="59BCE4A2">
      <w:pPr>
        <w:pStyle w:val="6"/>
        <w:ind w:left="1680" w:right="1680"/>
        <w:rPr>
          <w:rFonts w:ascii="宋体" w:hAnsi="宋体"/>
          <w:b/>
          <w:sz w:val="30"/>
          <w:szCs w:val="30"/>
        </w:rPr>
      </w:pPr>
    </w:p>
    <w:p w14:paraId="72A54ED9">
      <w:pPr>
        <w:pStyle w:val="6"/>
        <w:ind w:left="1680" w:right="1680"/>
        <w:rPr>
          <w:rFonts w:ascii="宋体" w:hAnsi="宋体"/>
          <w:b/>
          <w:sz w:val="30"/>
          <w:szCs w:val="30"/>
        </w:rPr>
      </w:pPr>
    </w:p>
    <w:p w14:paraId="52E3363C">
      <w:pPr>
        <w:pStyle w:val="6"/>
        <w:ind w:left="1680" w:right="1680"/>
        <w:rPr>
          <w:rFonts w:ascii="宋体" w:hAnsi="宋体"/>
          <w:b/>
          <w:sz w:val="30"/>
          <w:szCs w:val="30"/>
        </w:rPr>
      </w:pPr>
    </w:p>
    <w:p w14:paraId="3817E4B3">
      <w:pPr>
        <w:pStyle w:val="6"/>
        <w:ind w:left="1680" w:right="1680"/>
        <w:rPr>
          <w:rFonts w:ascii="宋体" w:hAnsi="宋体"/>
          <w:b/>
          <w:sz w:val="30"/>
          <w:szCs w:val="30"/>
        </w:rPr>
      </w:pPr>
    </w:p>
    <w:p w14:paraId="6D9FD18A">
      <w:pPr>
        <w:pStyle w:val="6"/>
        <w:ind w:left="1680" w:right="1680"/>
        <w:rPr>
          <w:rFonts w:ascii="宋体" w:hAnsi="宋体"/>
          <w:b/>
          <w:sz w:val="30"/>
          <w:szCs w:val="30"/>
        </w:rPr>
      </w:pPr>
    </w:p>
    <w:p w14:paraId="6A75759B">
      <w:pPr>
        <w:pStyle w:val="6"/>
        <w:ind w:left="1680" w:right="1680"/>
        <w:rPr>
          <w:rFonts w:ascii="宋体" w:hAnsi="宋体"/>
          <w:b/>
          <w:sz w:val="30"/>
          <w:szCs w:val="30"/>
        </w:rPr>
      </w:pPr>
    </w:p>
    <w:p w14:paraId="52B8B2EE">
      <w:pPr>
        <w:spacing w:line="480" w:lineRule="auto"/>
        <w:rPr>
          <w:rFonts w:ascii="宋体" w:hAnsi="宋体"/>
          <w:b/>
          <w:sz w:val="28"/>
          <w:szCs w:val="28"/>
        </w:rPr>
      </w:pPr>
      <w:r>
        <w:rPr>
          <w:rFonts w:hint="eastAsia" w:ascii="宋体" w:hAnsi="宋体"/>
          <w:b/>
          <w:sz w:val="72"/>
        </w:rPr>
        <w:br w:type="page"/>
      </w:r>
      <w:r>
        <w:rPr>
          <w:rFonts w:hint="eastAsia"/>
          <w:sz w:val="28"/>
          <w:szCs w:val="28"/>
        </w:rPr>
        <w:t>响应文件部分格式</w:t>
      </w:r>
    </w:p>
    <w:p w14:paraId="4C5627E7">
      <w:pPr>
        <w:spacing w:line="440" w:lineRule="exact"/>
        <w:rPr>
          <w:rFonts w:ascii="微软雅黑" w:hAnsi="微软雅黑" w:cs="微软雅黑"/>
          <w:b/>
          <w:bCs/>
          <w:kern w:val="0"/>
          <w:szCs w:val="28"/>
        </w:rPr>
      </w:pPr>
      <w:r>
        <w:rPr>
          <w:rFonts w:hint="eastAsia" w:ascii="微软雅黑" w:hAnsi="微软雅黑" w:cs="微软雅黑"/>
          <w:b/>
          <w:bCs/>
          <w:kern w:val="0"/>
          <w:szCs w:val="28"/>
        </w:rPr>
        <w:t>1报价函格式</w:t>
      </w:r>
    </w:p>
    <w:p w14:paraId="022B20A6">
      <w:pPr>
        <w:pStyle w:val="4"/>
        <w:spacing w:line="360" w:lineRule="auto"/>
        <w:jc w:val="center"/>
        <w:rPr>
          <w:rFonts w:eastAsia="仿宋_GB2312"/>
          <w:b/>
          <w:sz w:val="30"/>
          <w:szCs w:val="30"/>
        </w:rPr>
      </w:pPr>
      <w:r>
        <w:rPr>
          <w:rFonts w:hint="eastAsia" w:eastAsia="仿宋_GB2312"/>
          <w:b/>
          <w:sz w:val="30"/>
          <w:szCs w:val="30"/>
        </w:rPr>
        <w:t>报价函</w:t>
      </w:r>
    </w:p>
    <w:p w14:paraId="5974407A">
      <w:pPr>
        <w:pStyle w:val="4"/>
        <w:numPr>
          <w:ilvl w:val="0"/>
          <w:numId w:val="1"/>
        </w:numPr>
        <w:spacing w:line="360" w:lineRule="auto"/>
        <w:ind w:firstLine="500" w:firstLineChars="200"/>
        <w:rPr>
          <w:rFonts w:eastAsia="仿宋_GB2312"/>
          <w:sz w:val="25"/>
        </w:rPr>
      </w:pPr>
      <w:r>
        <w:rPr>
          <w:rFonts w:hint="eastAsia" w:ascii="仿宋_GB2312" w:eastAsia="仿宋_GB2312"/>
          <w:sz w:val="25"/>
          <w:szCs w:val="25"/>
        </w:rPr>
        <w:t>根</w:t>
      </w:r>
      <w:r>
        <w:rPr>
          <w:rFonts w:hint="eastAsia" w:eastAsia="仿宋_GB2312"/>
          <w:sz w:val="25"/>
        </w:rPr>
        <w:t>据已收到的</w:t>
      </w:r>
      <w:r>
        <w:rPr>
          <w:rFonts w:hint="eastAsia" w:eastAsia="黑体"/>
          <w:b/>
          <w:sz w:val="25"/>
          <w:szCs w:val="25"/>
          <w:u w:val="single"/>
        </w:rPr>
        <w:t>南京中医药大学</w:t>
      </w:r>
      <w:r>
        <w:rPr>
          <w:rFonts w:hint="eastAsia" w:eastAsia="黑体"/>
          <w:b/>
          <w:sz w:val="25"/>
          <w:szCs w:val="25"/>
          <w:u w:val="single"/>
          <w:lang w:val="en-US" w:eastAsia="zh-CN"/>
        </w:rPr>
        <w:t>水平衡测试综合服务</w:t>
      </w:r>
      <w:r>
        <w:rPr>
          <w:rFonts w:hint="eastAsia" w:eastAsia="黑体"/>
          <w:b/>
          <w:sz w:val="25"/>
          <w:szCs w:val="25"/>
          <w:u w:val="single"/>
        </w:rPr>
        <w:t>（</w:t>
      </w:r>
      <w:r>
        <w:rPr>
          <w:rFonts w:hint="eastAsia" w:eastAsia="黑体"/>
          <w:b/>
          <w:sz w:val="25"/>
          <w:szCs w:val="25"/>
          <w:u w:val="single"/>
          <w:lang w:val="en-US" w:eastAsia="zh-CN"/>
        </w:rPr>
        <w:t>2024SZ1102</w:t>
      </w:r>
      <w:r>
        <w:rPr>
          <w:rFonts w:hint="eastAsia" w:eastAsia="黑体"/>
          <w:b/>
          <w:sz w:val="25"/>
          <w:szCs w:val="25"/>
          <w:u w:val="single"/>
        </w:rPr>
        <w:t>）</w:t>
      </w:r>
      <w:r>
        <w:rPr>
          <w:rFonts w:hint="eastAsia" w:eastAsia="仿宋_GB2312"/>
          <w:sz w:val="25"/>
        </w:rPr>
        <w:t xml:space="preserve">项目的采购文件，我单位经认真研究采购文件后，现作如下报价： </w:t>
      </w:r>
    </w:p>
    <w:p w14:paraId="3DFBBAC6">
      <w:pPr>
        <w:pStyle w:val="4"/>
        <w:spacing w:line="360" w:lineRule="auto"/>
        <w:ind w:firstLine="0"/>
        <w:rPr>
          <w:rFonts w:eastAsia="仿宋_GB2312"/>
          <w:sz w:val="25"/>
        </w:rPr>
      </w:pPr>
      <w:r>
        <w:rPr>
          <w:rFonts w:hint="eastAsia" w:eastAsia="仿宋_GB2312"/>
          <w:sz w:val="25"/>
          <w:u w:val="single"/>
          <w:lang w:val="en-US" w:eastAsia="zh-CN"/>
        </w:rPr>
        <w:t>报价</w:t>
      </w:r>
      <w:r>
        <w:rPr>
          <w:rFonts w:hint="eastAsia" w:eastAsia="仿宋_GB2312"/>
          <w:sz w:val="25"/>
          <w:u w:val="single"/>
        </w:rPr>
        <w:t xml:space="preserve">（大写）：                                      </w:t>
      </w:r>
      <w:r>
        <w:rPr>
          <w:rFonts w:hint="eastAsia" w:eastAsia="仿宋_GB2312"/>
          <w:sz w:val="25"/>
          <w:u w:val="single"/>
          <w:lang w:val="en-US" w:eastAsia="zh-CN"/>
        </w:rPr>
        <w:t xml:space="preserve">  元</w:t>
      </w:r>
      <w:r>
        <w:rPr>
          <w:rFonts w:hint="eastAsia" w:eastAsia="仿宋_GB2312"/>
          <w:sz w:val="25"/>
          <w:u w:val="single"/>
        </w:rPr>
        <w:t xml:space="preserve">      </w:t>
      </w:r>
      <w:r>
        <w:rPr>
          <w:rFonts w:hint="eastAsia" w:eastAsia="仿宋_GB2312"/>
          <w:sz w:val="25"/>
          <w:u w:val="single"/>
          <w:lang w:val="en-US" w:eastAsia="zh-CN"/>
        </w:rPr>
        <w:t xml:space="preserve">   </w:t>
      </w:r>
      <w:r>
        <w:rPr>
          <w:rFonts w:hint="eastAsia" w:eastAsia="仿宋_GB2312"/>
          <w:sz w:val="25"/>
          <w:u w:val="single"/>
        </w:rPr>
        <w:t xml:space="preserve">    </w:t>
      </w:r>
    </w:p>
    <w:p w14:paraId="119E001D">
      <w:pPr>
        <w:pStyle w:val="4"/>
        <w:spacing w:line="360" w:lineRule="auto"/>
        <w:ind w:firstLine="0"/>
        <w:rPr>
          <w:rFonts w:eastAsia="仿宋_GB2312"/>
          <w:sz w:val="25"/>
        </w:rPr>
      </w:pPr>
      <w:r>
        <w:rPr>
          <w:rFonts w:hint="eastAsia" w:eastAsia="仿宋_GB2312"/>
          <w:sz w:val="25"/>
          <w:u w:val="single"/>
          <w:lang w:val="en-US" w:eastAsia="zh-CN"/>
        </w:rPr>
        <w:t>报价</w:t>
      </w:r>
      <w:r>
        <w:rPr>
          <w:rFonts w:hint="eastAsia" w:eastAsia="仿宋_GB2312"/>
          <w:sz w:val="25"/>
          <w:u w:val="single"/>
        </w:rPr>
        <w:t xml:space="preserve">（小写）：                                     </w:t>
      </w:r>
      <w:r>
        <w:rPr>
          <w:rFonts w:hint="eastAsia" w:eastAsia="仿宋_GB2312"/>
          <w:sz w:val="25"/>
          <w:u w:val="single"/>
          <w:lang w:val="en-US" w:eastAsia="zh-CN"/>
        </w:rPr>
        <w:t xml:space="preserve">  </w:t>
      </w:r>
      <w:r>
        <w:rPr>
          <w:rFonts w:hint="eastAsia" w:eastAsia="仿宋_GB2312"/>
          <w:sz w:val="25"/>
          <w:u w:val="single"/>
        </w:rPr>
        <w:t xml:space="preserve"> </w:t>
      </w:r>
      <w:r>
        <w:rPr>
          <w:rFonts w:hint="eastAsia" w:eastAsia="仿宋_GB2312"/>
          <w:sz w:val="25"/>
          <w:u w:val="single"/>
          <w:lang w:val="en-US" w:eastAsia="zh-CN"/>
        </w:rPr>
        <w:t>元</w:t>
      </w:r>
      <w:r>
        <w:rPr>
          <w:rFonts w:hint="eastAsia" w:eastAsia="仿宋_GB2312"/>
          <w:sz w:val="25"/>
          <w:u w:val="single"/>
        </w:rPr>
        <w:t xml:space="preserve">      </w:t>
      </w:r>
      <w:r>
        <w:rPr>
          <w:rFonts w:hint="eastAsia" w:eastAsia="仿宋_GB2312"/>
          <w:sz w:val="25"/>
          <w:u w:val="single"/>
          <w:lang w:val="en-US" w:eastAsia="zh-CN"/>
        </w:rPr>
        <w:t xml:space="preserve">     </w:t>
      </w:r>
      <w:r>
        <w:rPr>
          <w:rFonts w:hint="eastAsia" w:eastAsia="仿宋_GB2312"/>
          <w:sz w:val="25"/>
          <w:u w:val="single"/>
        </w:rPr>
        <w:t xml:space="preserve">    </w:t>
      </w:r>
    </w:p>
    <w:p w14:paraId="1F3AE3B6">
      <w:pPr>
        <w:pStyle w:val="4"/>
        <w:spacing w:line="360" w:lineRule="auto"/>
        <w:rPr>
          <w:rFonts w:ascii="仿宋_GB2312" w:eastAsia="仿宋_GB2312"/>
          <w:sz w:val="25"/>
          <w:szCs w:val="25"/>
        </w:rPr>
      </w:pPr>
      <w:r>
        <w:rPr>
          <w:rFonts w:hint="eastAsia" w:ascii="仿宋_GB2312" w:eastAsia="仿宋_GB2312"/>
          <w:sz w:val="25"/>
          <w:szCs w:val="25"/>
        </w:rPr>
        <w:t>2、我方接受采购文件的所有条款和规定。</w:t>
      </w:r>
    </w:p>
    <w:p w14:paraId="392B684D">
      <w:pPr>
        <w:pStyle w:val="4"/>
        <w:spacing w:line="360" w:lineRule="auto"/>
        <w:ind w:firstLine="500" w:firstLineChars="200"/>
        <w:rPr>
          <w:rFonts w:eastAsia="仿宋_GB2312"/>
          <w:sz w:val="25"/>
          <w:szCs w:val="25"/>
        </w:rPr>
      </w:pPr>
      <w:r>
        <w:rPr>
          <w:rFonts w:hint="eastAsia" w:eastAsia="仿宋_GB2312"/>
          <w:sz w:val="25"/>
          <w:szCs w:val="25"/>
        </w:rPr>
        <w:t>3、我方同意提供采购人要求的有关本次采购的所有资料。</w:t>
      </w:r>
    </w:p>
    <w:p w14:paraId="408BF7CC">
      <w:pPr>
        <w:pStyle w:val="4"/>
        <w:spacing w:line="360" w:lineRule="auto"/>
        <w:ind w:firstLine="500" w:firstLineChars="200"/>
        <w:rPr>
          <w:rFonts w:ascii="仿宋_GB2312" w:eastAsia="仿宋_GB2312"/>
          <w:sz w:val="25"/>
          <w:szCs w:val="25"/>
        </w:rPr>
      </w:pPr>
      <w:r>
        <w:rPr>
          <w:rFonts w:hint="eastAsia" w:ascii="仿宋_GB2312" w:eastAsia="仿宋_GB2312"/>
          <w:sz w:val="25"/>
          <w:szCs w:val="25"/>
        </w:rPr>
        <w:t>4、如果我方为最终成交供应商，我方将按照规定缴纳履约保证金作为履约担保。</w:t>
      </w:r>
    </w:p>
    <w:p w14:paraId="483C1B47">
      <w:pPr>
        <w:pStyle w:val="4"/>
        <w:spacing w:line="360" w:lineRule="auto"/>
        <w:ind w:firstLine="500" w:firstLineChars="200"/>
        <w:rPr>
          <w:rFonts w:ascii="仿宋_GB2312" w:eastAsia="仿宋_GB2312"/>
          <w:sz w:val="25"/>
          <w:szCs w:val="25"/>
        </w:rPr>
      </w:pPr>
      <w:r>
        <w:rPr>
          <w:rFonts w:hint="eastAsia" w:ascii="仿宋_GB2312" w:eastAsia="仿宋_GB2312"/>
          <w:sz w:val="25"/>
          <w:szCs w:val="25"/>
        </w:rPr>
        <w:t>5、其他承诺：</w:t>
      </w:r>
    </w:p>
    <w:p w14:paraId="5832653C">
      <w:pPr>
        <w:pStyle w:val="4"/>
        <w:spacing w:line="360" w:lineRule="auto"/>
        <w:ind w:firstLine="250" w:firstLineChars="100"/>
        <w:rPr>
          <w:rFonts w:eastAsia="仿宋_GB2312"/>
          <w:sz w:val="25"/>
        </w:rPr>
      </w:pPr>
    </w:p>
    <w:p w14:paraId="4498ED60">
      <w:pPr>
        <w:pStyle w:val="4"/>
        <w:spacing w:line="360" w:lineRule="auto"/>
        <w:ind w:firstLine="2500" w:firstLineChars="1000"/>
        <w:rPr>
          <w:rFonts w:eastAsia="仿宋_GB2312"/>
          <w:sz w:val="25"/>
          <w:u w:val="single"/>
        </w:rPr>
      </w:pPr>
      <w:r>
        <w:rPr>
          <w:rFonts w:hint="eastAsia" w:eastAsia="仿宋_GB2312"/>
          <w:sz w:val="25"/>
        </w:rPr>
        <w:t>响应单位全称</w:t>
      </w:r>
      <w:r>
        <w:rPr>
          <w:rFonts w:eastAsia="仿宋_GB2312"/>
          <w:sz w:val="25"/>
        </w:rPr>
        <w:t>(</w:t>
      </w:r>
      <w:r>
        <w:rPr>
          <w:rFonts w:hint="eastAsia" w:eastAsia="仿宋_GB2312"/>
          <w:sz w:val="25"/>
        </w:rPr>
        <w:t>公章</w:t>
      </w:r>
      <w:r>
        <w:rPr>
          <w:rFonts w:eastAsia="仿宋_GB2312"/>
          <w:sz w:val="25"/>
        </w:rPr>
        <w:t>)</w:t>
      </w:r>
      <w:r>
        <w:rPr>
          <w:rFonts w:hint="eastAsia" w:eastAsia="仿宋_GB2312"/>
          <w:sz w:val="25"/>
        </w:rPr>
        <w:t>：</w:t>
      </w:r>
    </w:p>
    <w:p w14:paraId="5CB29200">
      <w:pPr>
        <w:pStyle w:val="4"/>
        <w:spacing w:line="360" w:lineRule="auto"/>
        <w:ind w:firstLine="2500" w:firstLineChars="1000"/>
        <w:rPr>
          <w:rFonts w:eastAsia="仿宋_GB2312"/>
          <w:sz w:val="25"/>
        </w:rPr>
      </w:pPr>
      <w:r>
        <w:rPr>
          <w:rFonts w:hint="eastAsia" w:eastAsia="仿宋_GB2312"/>
          <w:sz w:val="25"/>
        </w:rPr>
        <w:t>法定代表人（授权代表）</w:t>
      </w:r>
      <w:r>
        <w:rPr>
          <w:rFonts w:eastAsia="仿宋_GB2312"/>
          <w:sz w:val="25"/>
        </w:rPr>
        <w:t>(</w:t>
      </w:r>
      <w:r>
        <w:rPr>
          <w:rFonts w:hint="eastAsia" w:eastAsia="仿宋_GB2312"/>
          <w:sz w:val="25"/>
        </w:rPr>
        <w:t>签名或盖章</w:t>
      </w:r>
      <w:r>
        <w:rPr>
          <w:rFonts w:eastAsia="仿宋_GB2312"/>
          <w:sz w:val="25"/>
        </w:rPr>
        <w:t>)</w:t>
      </w:r>
      <w:r>
        <w:rPr>
          <w:rFonts w:hint="eastAsia" w:eastAsia="仿宋_GB2312"/>
          <w:sz w:val="25"/>
        </w:rPr>
        <w:t>：</w:t>
      </w:r>
    </w:p>
    <w:p w14:paraId="0FED87BA">
      <w:pPr>
        <w:pStyle w:val="4"/>
        <w:spacing w:line="360" w:lineRule="auto"/>
        <w:ind w:firstLine="0"/>
        <w:rPr>
          <w:rFonts w:eastAsia="仿宋_GB2312"/>
          <w:sz w:val="25"/>
        </w:rPr>
      </w:pPr>
    </w:p>
    <w:p w14:paraId="1A94B6DE">
      <w:pPr>
        <w:pStyle w:val="4"/>
        <w:spacing w:line="360" w:lineRule="auto"/>
        <w:ind w:firstLine="0"/>
        <w:jc w:val="right"/>
        <w:rPr>
          <w:rFonts w:ascii="宋体" w:hAnsi="宋体"/>
          <w:sz w:val="28"/>
        </w:rPr>
      </w:pPr>
      <w:r>
        <w:rPr>
          <w:rFonts w:hint="eastAsia"/>
        </w:rPr>
        <w:t>日期：  年 月 日</w:t>
      </w:r>
    </w:p>
    <w:p w14:paraId="48876BAA">
      <w:r>
        <w:br w:type="page"/>
      </w:r>
    </w:p>
    <w:p w14:paraId="7D1C7F5C">
      <w:pPr>
        <w:pStyle w:val="3"/>
        <w:rPr>
          <w:rFonts w:ascii="微软雅黑" w:hAnsi="微软雅黑" w:cs="微软雅黑"/>
          <w:szCs w:val="28"/>
        </w:rPr>
      </w:pPr>
      <w:r>
        <w:rPr>
          <w:rFonts w:hint="eastAsia"/>
          <w:lang w:val="en-US" w:eastAsia="zh-CN"/>
        </w:rPr>
        <w:t>2</w:t>
      </w:r>
      <w:bookmarkStart w:id="3" w:name="_Toc32368"/>
      <w:bookmarkStart w:id="4" w:name="_Toc6268"/>
      <w:r>
        <w:rPr>
          <w:rFonts w:hint="eastAsia"/>
        </w:rPr>
        <w:t>.经营业绩（后附对应合同复印件）</w:t>
      </w:r>
      <w:bookmarkEnd w:id="3"/>
      <w:bookmarkEnd w:id="4"/>
    </w:p>
    <w:tbl>
      <w:tblPr>
        <w:tblStyle w:val="11"/>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28"/>
        <w:gridCol w:w="1196"/>
        <w:gridCol w:w="796"/>
        <w:gridCol w:w="1911"/>
        <w:gridCol w:w="2340"/>
      </w:tblGrid>
      <w:tr w14:paraId="2B3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2" w:type="dxa"/>
            <w:vAlign w:val="center"/>
          </w:tcPr>
          <w:p w14:paraId="0F65F1B7">
            <w:pPr>
              <w:jc w:val="center"/>
              <w:rPr>
                <w:b/>
                <w:bCs/>
                <w:sz w:val="18"/>
                <w:szCs w:val="20"/>
              </w:rPr>
            </w:pPr>
            <w:r>
              <w:rPr>
                <w:rFonts w:hint="eastAsia"/>
                <w:b/>
                <w:bCs/>
                <w:sz w:val="18"/>
                <w:szCs w:val="20"/>
              </w:rPr>
              <w:t>序号</w:t>
            </w:r>
          </w:p>
        </w:tc>
        <w:tc>
          <w:tcPr>
            <w:tcW w:w="2028" w:type="dxa"/>
            <w:vAlign w:val="center"/>
          </w:tcPr>
          <w:p w14:paraId="529000FC">
            <w:pPr>
              <w:jc w:val="center"/>
              <w:rPr>
                <w:b/>
                <w:bCs/>
                <w:sz w:val="18"/>
                <w:szCs w:val="20"/>
              </w:rPr>
            </w:pPr>
            <w:r>
              <w:rPr>
                <w:rFonts w:hint="eastAsia"/>
                <w:b/>
                <w:bCs/>
                <w:sz w:val="18"/>
                <w:szCs w:val="20"/>
              </w:rPr>
              <w:t>业绩名称</w:t>
            </w:r>
          </w:p>
        </w:tc>
        <w:tc>
          <w:tcPr>
            <w:tcW w:w="1196" w:type="dxa"/>
            <w:vAlign w:val="center"/>
          </w:tcPr>
          <w:p w14:paraId="41E8C7EA">
            <w:pPr>
              <w:jc w:val="center"/>
              <w:rPr>
                <w:b/>
                <w:bCs/>
                <w:sz w:val="18"/>
                <w:szCs w:val="20"/>
              </w:rPr>
            </w:pPr>
            <w:r>
              <w:rPr>
                <w:rFonts w:hint="eastAsia"/>
                <w:b/>
                <w:bCs/>
                <w:sz w:val="18"/>
                <w:szCs w:val="20"/>
              </w:rPr>
              <w:t>采购单位及联系人、联系方式</w:t>
            </w:r>
          </w:p>
        </w:tc>
        <w:tc>
          <w:tcPr>
            <w:tcW w:w="796" w:type="dxa"/>
          </w:tcPr>
          <w:p w14:paraId="23CD767A">
            <w:pPr>
              <w:jc w:val="center"/>
              <w:rPr>
                <w:b/>
                <w:bCs/>
                <w:sz w:val="18"/>
                <w:szCs w:val="20"/>
              </w:rPr>
            </w:pPr>
            <w:r>
              <w:rPr>
                <w:rFonts w:hint="eastAsia"/>
                <w:b/>
                <w:bCs/>
                <w:sz w:val="18"/>
                <w:szCs w:val="20"/>
              </w:rPr>
              <w:t>签订</w:t>
            </w:r>
          </w:p>
          <w:p w14:paraId="5D18ED44">
            <w:pPr>
              <w:jc w:val="center"/>
              <w:rPr>
                <w:b/>
                <w:bCs/>
                <w:sz w:val="18"/>
                <w:szCs w:val="20"/>
              </w:rPr>
            </w:pPr>
            <w:r>
              <w:rPr>
                <w:rFonts w:hint="eastAsia"/>
                <w:b/>
                <w:bCs/>
                <w:sz w:val="18"/>
                <w:szCs w:val="20"/>
              </w:rPr>
              <w:t>时间</w:t>
            </w:r>
          </w:p>
        </w:tc>
        <w:tc>
          <w:tcPr>
            <w:tcW w:w="1911" w:type="dxa"/>
            <w:vAlign w:val="center"/>
          </w:tcPr>
          <w:p w14:paraId="504F7833">
            <w:pPr>
              <w:jc w:val="center"/>
              <w:rPr>
                <w:b/>
                <w:bCs/>
                <w:sz w:val="18"/>
                <w:szCs w:val="20"/>
              </w:rPr>
            </w:pPr>
            <w:r>
              <w:rPr>
                <w:rFonts w:hint="eastAsia"/>
                <w:b/>
                <w:bCs/>
                <w:sz w:val="18"/>
                <w:szCs w:val="20"/>
              </w:rPr>
              <w:t>合同金额</w:t>
            </w:r>
          </w:p>
          <w:p w14:paraId="3BFCAD65">
            <w:pPr>
              <w:jc w:val="center"/>
              <w:rPr>
                <w:b/>
                <w:bCs/>
                <w:sz w:val="18"/>
                <w:szCs w:val="20"/>
              </w:rPr>
            </w:pPr>
            <w:r>
              <w:rPr>
                <w:rFonts w:hint="eastAsia"/>
                <w:b/>
                <w:bCs/>
                <w:sz w:val="18"/>
                <w:szCs w:val="20"/>
              </w:rPr>
              <w:t>（万元）</w:t>
            </w:r>
          </w:p>
        </w:tc>
        <w:tc>
          <w:tcPr>
            <w:tcW w:w="2340" w:type="dxa"/>
            <w:vAlign w:val="center"/>
          </w:tcPr>
          <w:p w14:paraId="346119DB">
            <w:pPr>
              <w:jc w:val="center"/>
              <w:rPr>
                <w:b/>
                <w:bCs/>
                <w:sz w:val="18"/>
                <w:szCs w:val="20"/>
              </w:rPr>
            </w:pPr>
            <w:r>
              <w:rPr>
                <w:rFonts w:hint="eastAsia"/>
                <w:b/>
                <w:bCs/>
                <w:sz w:val="18"/>
                <w:szCs w:val="20"/>
              </w:rPr>
              <w:t>证明材料</w:t>
            </w:r>
          </w:p>
          <w:p w14:paraId="4329748C">
            <w:pPr>
              <w:jc w:val="center"/>
              <w:rPr>
                <w:b/>
                <w:bCs/>
                <w:sz w:val="18"/>
                <w:szCs w:val="20"/>
              </w:rPr>
            </w:pPr>
            <w:r>
              <w:rPr>
                <w:rFonts w:hint="eastAsia"/>
                <w:b/>
                <w:bCs/>
                <w:sz w:val="18"/>
                <w:szCs w:val="20"/>
              </w:rPr>
              <w:t>（第几页—第几页）</w:t>
            </w:r>
          </w:p>
        </w:tc>
      </w:tr>
      <w:tr w14:paraId="231D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52" w:type="dxa"/>
            <w:vAlign w:val="center"/>
          </w:tcPr>
          <w:p w14:paraId="59CF7634">
            <w:pPr>
              <w:rPr>
                <w:sz w:val="18"/>
                <w:szCs w:val="20"/>
              </w:rPr>
            </w:pPr>
          </w:p>
        </w:tc>
        <w:tc>
          <w:tcPr>
            <w:tcW w:w="2028" w:type="dxa"/>
            <w:vAlign w:val="center"/>
          </w:tcPr>
          <w:p w14:paraId="7E38BAFB">
            <w:pPr>
              <w:rPr>
                <w:sz w:val="18"/>
                <w:szCs w:val="20"/>
              </w:rPr>
            </w:pPr>
          </w:p>
        </w:tc>
        <w:tc>
          <w:tcPr>
            <w:tcW w:w="1196" w:type="dxa"/>
            <w:vAlign w:val="center"/>
          </w:tcPr>
          <w:p w14:paraId="64668389">
            <w:pPr>
              <w:rPr>
                <w:sz w:val="18"/>
                <w:szCs w:val="20"/>
              </w:rPr>
            </w:pPr>
          </w:p>
        </w:tc>
        <w:tc>
          <w:tcPr>
            <w:tcW w:w="796" w:type="dxa"/>
          </w:tcPr>
          <w:p w14:paraId="34781307">
            <w:pPr>
              <w:rPr>
                <w:sz w:val="18"/>
                <w:szCs w:val="20"/>
              </w:rPr>
            </w:pPr>
          </w:p>
        </w:tc>
        <w:tc>
          <w:tcPr>
            <w:tcW w:w="1911" w:type="dxa"/>
            <w:vAlign w:val="center"/>
          </w:tcPr>
          <w:p w14:paraId="760A279F">
            <w:pPr>
              <w:rPr>
                <w:sz w:val="18"/>
                <w:szCs w:val="20"/>
              </w:rPr>
            </w:pPr>
          </w:p>
        </w:tc>
        <w:tc>
          <w:tcPr>
            <w:tcW w:w="2340" w:type="dxa"/>
            <w:vAlign w:val="center"/>
          </w:tcPr>
          <w:p w14:paraId="3EDDF259">
            <w:pPr>
              <w:rPr>
                <w:sz w:val="18"/>
                <w:szCs w:val="20"/>
              </w:rPr>
            </w:pPr>
          </w:p>
        </w:tc>
      </w:tr>
      <w:tr w14:paraId="0C23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14:paraId="1A4E5BD7">
            <w:pPr>
              <w:rPr>
                <w:sz w:val="18"/>
                <w:szCs w:val="20"/>
              </w:rPr>
            </w:pPr>
          </w:p>
        </w:tc>
        <w:tc>
          <w:tcPr>
            <w:tcW w:w="2028" w:type="dxa"/>
            <w:vAlign w:val="center"/>
          </w:tcPr>
          <w:p w14:paraId="3EA05410">
            <w:pPr>
              <w:rPr>
                <w:sz w:val="18"/>
                <w:szCs w:val="20"/>
              </w:rPr>
            </w:pPr>
          </w:p>
        </w:tc>
        <w:tc>
          <w:tcPr>
            <w:tcW w:w="1196" w:type="dxa"/>
            <w:vAlign w:val="center"/>
          </w:tcPr>
          <w:p w14:paraId="7354F83E">
            <w:pPr>
              <w:rPr>
                <w:sz w:val="18"/>
                <w:szCs w:val="20"/>
              </w:rPr>
            </w:pPr>
          </w:p>
        </w:tc>
        <w:tc>
          <w:tcPr>
            <w:tcW w:w="796" w:type="dxa"/>
          </w:tcPr>
          <w:p w14:paraId="72B9A9D2">
            <w:pPr>
              <w:rPr>
                <w:sz w:val="18"/>
                <w:szCs w:val="20"/>
              </w:rPr>
            </w:pPr>
          </w:p>
        </w:tc>
        <w:tc>
          <w:tcPr>
            <w:tcW w:w="1911" w:type="dxa"/>
            <w:vAlign w:val="center"/>
          </w:tcPr>
          <w:p w14:paraId="22FF07F0">
            <w:pPr>
              <w:rPr>
                <w:sz w:val="18"/>
                <w:szCs w:val="20"/>
              </w:rPr>
            </w:pPr>
          </w:p>
        </w:tc>
        <w:tc>
          <w:tcPr>
            <w:tcW w:w="2340" w:type="dxa"/>
            <w:vAlign w:val="center"/>
          </w:tcPr>
          <w:p w14:paraId="28F8876E">
            <w:pPr>
              <w:rPr>
                <w:sz w:val="18"/>
                <w:szCs w:val="20"/>
              </w:rPr>
            </w:pPr>
          </w:p>
        </w:tc>
      </w:tr>
      <w:tr w14:paraId="6415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14:paraId="69A5E4F4">
            <w:pPr>
              <w:rPr>
                <w:sz w:val="18"/>
                <w:szCs w:val="20"/>
              </w:rPr>
            </w:pPr>
          </w:p>
        </w:tc>
        <w:tc>
          <w:tcPr>
            <w:tcW w:w="2028" w:type="dxa"/>
            <w:vAlign w:val="center"/>
          </w:tcPr>
          <w:p w14:paraId="5D8D2782">
            <w:pPr>
              <w:rPr>
                <w:sz w:val="18"/>
                <w:szCs w:val="20"/>
              </w:rPr>
            </w:pPr>
          </w:p>
        </w:tc>
        <w:tc>
          <w:tcPr>
            <w:tcW w:w="1196" w:type="dxa"/>
            <w:vAlign w:val="center"/>
          </w:tcPr>
          <w:p w14:paraId="5FBE7112">
            <w:pPr>
              <w:rPr>
                <w:sz w:val="18"/>
                <w:szCs w:val="20"/>
              </w:rPr>
            </w:pPr>
          </w:p>
        </w:tc>
        <w:tc>
          <w:tcPr>
            <w:tcW w:w="796" w:type="dxa"/>
          </w:tcPr>
          <w:p w14:paraId="644B0C27">
            <w:pPr>
              <w:rPr>
                <w:sz w:val="18"/>
                <w:szCs w:val="20"/>
              </w:rPr>
            </w:pPr>
          </w:p>
        </w:tc>
        <w:tc>
          <w:tcPr>
            <w:tcW w:w="1911" w:type="dxa"/>
            <w:vAlign w:val="center"/>
          </w:tcPr>
          <w:p w14:paraId="16A4B3C1">
            <w:pPr>
              <w:rPr>
                <w:sz w:val="18"/>
                <w:szCs w:val="20"/>
              </w:rPr>
            </w:pPr>
          </w:p>
        </w:tc>
        <w:tc>
          <w:tcPr>
            <w:tcW w:w="2340" w:type="dxa"/>
            <w:vAlign w:val="center"/>
          </w:tcPr>
          <w:p w14:paraId="7ADBA79E">
            <w:pPr>
              <w:rPr>
                <w:sz w:val="18"/>
                <w:szCs w:val="20"/>
              </w:rPr>
            </w:pPr>
          </w:p>
        </w:tc>
      </w:tr>
      <w:tr w14:paraId="0138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14:paraId="310CD46F">
            <w:pPr>
              <w:rPr>
                <w:sz w:val="18"/>
                <w:szCs w:val="20"/>
              </w:rPr>
            </w:pPr>
          </w:p>
        </w:tc>
        <w:tc>
          <w:tcPr>
            <w:tcW w:w="2028" w:type="dxa"/>
            <w:vAlign w:val="center"/>
          </w:tcPr>
          <w:p w14:paraId="24B7DFFF">
            <w:pPr>
              <w:rPr>
                <w:sz w:val="18"/>
                <w:szCs w:val="20"/>
              </w:rPr>
            </w:pPr>
          </w:p>
        </w:tc>
        <w:tc>
          <w:tcPr>
            <w:tcW w:w="1196" w:type="dxa"/>
            <w:vAlign w:val="center"/>
          </w:tcPr>
          <w:p w14:paraId="73B2EE42">
            <w:pPr>
              <w:rPr>
                <w:sz w:val="18"/>
                <w:szCs w:val="20"/>
              </w:rPr>
            </w:pPr>
          </w:p>
        </w:tc>
        <w:tc>
          <w:tcPr>
            <w:tcW w:w="796" w:type="dxa"/>
          </w:tcPr>
          <w:p w14:paraId="579AD7C4">
            <w:pPr>
              <w:rPr>
                <w:sz w:val="18"/>
                <w:szCs w:val="20"/>
              </w:rPr>
            </w:pPr>
          </w:p>
        </w:tc>
        <w:tc>
          <w:tcPr>
            <w:tcW w:w="1911" w:type="dxa"/>
            <w:vAlign w:val="center"/>
          </w:tcPr>
          <w:p w14:paraId="1A64C6A0">
            <w:pPr>
              <w:rPr>
                <w:sz w:val="18"/>
                <w:szCs w:val="20"/>
              </w:rPr>
            </w:pPr>
          </w:p>
        </w:tc>
        <w:tc>
          <w:tcPr>
            <w:tcW w:w="2340" w:type="dxa"/>
            <w:vAlign w:val="center"/>
          </w:tcPr>
          <w:p w14:paraId="4C1FF1D3">
            <w:pPr>
              <w:rPr>
                <w:sz w:val="18"/>
                <w:szCs w:val="20"/>
              </w:rPr>
            </w:pPr>
          </w:p>
        </w:tc>
      </w:tr>
      <w:tr w14:paraId="1DC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14:paraId="563B26F8">
            <w:pPr>
              <w:rPr>
                <w:sz w:val="18"/>
                <w:szCs w:val="20"/>
              </w:rPr>
            </w:pPr>
          </w:p>
        </w:tc>
        <w:tc>
          <w:tcPr>
            <w:tcW w:w="2028" w:type="dxa"/>
            <w:vAlign w:val="center"/>
          </w:tcPr>
          <w:p w14:paraId="4FC09675">
            <w:pPr>
              <w:rPr>
                <w:sz w:val="18"/>
                <w:szCs w:val="20"/>
              </w:rPr>
            </w:pPr>
          </w:p>
        </w:tc>
        <w:tc>
          <w:tcPr>
            <w:tcW w:w="1196" w:type="dxa"/>
            <w:vAlign w:val="center"/>
          </w:tcPr>
          <w:p w14:paraId="4E32B7CD">
            <w:pPr>
              <w:rPr>
                <w:sz w:val="18"/>
                <w:szCs w:val="20"/>
              </w:rPr>
            </w:pPr>
          </w:p>
        </w:tc>
        <w:tc>
          <w:tcPr>
            <w:tcW w:w="796" w:type="dxa"/>
          </w:tcPr>
          <w:p w14:paraId="1395BC38">
            <w:pPr>
              <w:rPr>
                <w:sz w:val="18"/>
                <w:szCs w:val="20"/>
              </w:rPr>
            </w:pPr>
          </w:p>
        </w:tc>
        <w:tc>
          <w:tcPr>
            <w:tcW w:w="1911" w:type="dxa"/>
            <w:vAlign w:val="center"/>
          </w:tcPr>
          <w:p w14:paraId="6B2F5612">
            <w:pPr>
              <w:rPr>
                <w:sz w:val="18"/>
                <w:szCs w:val="20"/>
              </w:rPr>
            </w:pPr>
          </w:p>
        </w:tc>
        <w:tc>
          <w:tcPr>
            <w:tcW w:w="2340" w:type="dxa"/>
            <w:vAlign w:val="center"/>
          </w:tcPr>
          <w:p w14:paraId="5A862986">
            <w:pPr>
              <w:rPr>
                <w:sz w:val="18"/>
                <w:szCs w:val="20"/>
              </w:rPr>
            </w:pPr>
          </w:p>
        </w:tc>
      </w:tr>
    </w:tbl>
    <w:p w14:paraId="5C591C36">
      <w:pPr>
        <w:spacing w:line="420" w:lineRule="exact"/>
        <w:rPr>
          <w:rFonts w:ascii="微软雅黑" w:hAnsi="微软雅黑" w:cs="微软雅黑"/>
        </w:rPr>
      </w:pPr>
    </w:p>
    <w:p w14:paraId="21E95D85">
      <w:pPr>
        <w:pStyle w:val="7"/>
        <w:ind w:left="0" w:leftChars="0"/>
      </w:pPr>
      <w:r>
        <w:rPr>
          <w:rFonts w:hint="eastAsia"/>
        </w:rPr>
        <w:t xml:space="preserve">响应供应商全称（公章）：        </w:t>
      </w:r>
    </w:p>
    <w:p w14:paraId="40BAD256">
      <w:r>
        <w:rPr>
          <w:rFonts w:hint="eastAsia"/>
        </w:rPr>
        <w:t xml:space="preserve">法定代表人（授权代表）（签字/盖章）： </w:t>
      </w:r>
    </w:p>
    <w:p w14:paraId="1D0C2B01">
      <w:r>
        <w:rPr>
          <w:rFonts w:hint="eastAsia"/>
        </w:rPr>
        <w:t>日期：</w:t>
      </w:r>
    </w:p>
    <w:p w14:paraId="353A5C95">
      <w:pPr>
        <w:spacing w:line="420" w:lineRule="exact"/>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sz w:val="18"/>
          <w:szCs w:val="18"/>
        </w:rPr>
        <w:fldChar w:fldCharType="begin"/>
      </w:r>
      <w:r>
        <w:rPr>
          <w:rFonts w:hint="eastAsia" w:ascii="黑体" w:hAnsi="黑体" w:eastAsia="黑体" w:cs="黑体"/>
          <w:sz w:val="18"/>
          <w:szCs w:val="18"/>
        </w:rPr>
        <w:instrText xml:space="preserve">= 1 \* GB3</w:instrText>
      </w:r>
      <w:r>
        <w:rPr>
          <w:rFonts w:hint="eastAsia" w:ascii="黑体" w:hAnsi="黑体" w:eastAsia="黑体" w:cs="黑体"/>
          <w:sz w:val="18"/>
          <w:szCs w:val="18"/>
        </w:rPr>
        <w:fldChar w:fldCharType="separate"/>
      </w:r>
      <w:r>
        <w:rPr>
          <w:rFonts w:hint="eastAsia" w:ascii="黑体" w:hAnsi="黑体" w:eastAsia="黑体" w:cs="黑体"/>
          <w:sz w:val="18"/>
          <w:szCs w:val="18"/>
        </w:rPr>
        <w:t>①</w:t>
      </w:r>
      <w:r>
        <w:rPr>
          <w:rFonts w:hint="eastAsia" w:ascii="黑体" w:hAnsi="黑体" w:eastAsia="黑体" w:cs="黑体"/>
          <w:sz w:val="18"/>
          <w:szCs w:val="18"/>
        </w:rPr>
        <w:fldChar w:fldCharType="end"/>
      </w:r>
      <w:r>
        <w:rPr>
          <w:rFonts w:hint="eastAsia" w:ascii="黑体" w:hAnsi="黑体" w:eastAsia="黑体" w:cs="黑体"/>
          <w:sz w:val="18"/>
          <w:szCs w:val="18"/>
        </w:rPr>
        <w:t>此表为表样，须填写完整，行数可自行添加，但表式不变。</w:t>
      </w:r>
    </w:p>
    <w:p w14:paraId="4F8A47CD">
      <w:pPr>
        <w:spacing w:line="420" w:lineRule="exact"/>
        <w:ind w:firstLine="408" w:firstLineChars="227"/>
        <w:rPr>
          <w:rFonts w:ascii="黑体" w:hAnsi="黑体" w:eastAsia="黑体" w:cs="黑体"/>
          <w:sz w:val="18"/>
          <w:szCs w:val="18"/>
        </w:rPr>
      </w:pPr>
      <w:r>
        <w:rPr>
          <w:rFonts w:hint="eastAsia" w:ascii="黑体" w:hAnsi="黑体" w:eastAsia="黑体" w:cs="黑体"/>
          <w:sz w:val="18"/>
          <w:szCs w:val="18"/>
        </w:rPr>
        <w:fldChar w:fldCharType="begin"/>
      </w:r>
      <w:r>
        <w:rPr>
          <w:rFonts w:hint="eastAsia" w:ascii="黑体" w:hAnsi="黑体" w:eastAsia="黑体" w:cs="黑体"/>
          <w:sz w:val="18"/>
          <w:szCs w:val="18"/>
        </w:rPr>
        <w:instrText xml:space="preserve">= 2 \* GB3</w:instrText>
      </w:r>
      <w:r>
        <w:rPr>
          <w:rFonts w:hint="eastAsia" w:ascii="黑体" w:hAnsi="黑体" w:eastAsia="黑体" w:cs="黑体"/>
          <w:sz w:val="18"/>
          <w:szCs w:val="18"/>
        </w:rPr>
        <w:fldChar w:fldCharType="separate"/>
      </w:r>
      <w:r>
        <w:rPr>
          <w:rFonts w:hint="eastAsia" w:ascii="黑体" w:hAnsi="黑体" w:eastAsia="黑体" w:cs="黑体"/>
          <w:sz w:val="18"/>
          <w:szCs w:val="18"/>
        </w:rPr>
        <w:t>②</w:t>
      </w:r>
      <w:r>
        <w:rPr>
          <w:rFonts w:hint="eastAsia" w:ascii="黑体" w:hAnsi="黑体" w:eastAsia="黑体" w:cs="黑体"/>
          <w:sz w:val="18"/>
          <w:szCs w:val="18"/>
        </w:rPr>
        <w:fldChar w:fldCharType="end"/>
      </w:r>
      <w:r>
        <w:rPr>
          <w:rFonts w:hint="eastAsia" w:ascii="黑体" w:hAnsi="黑体" w:eastAsia="黑体" w:cs="黑体"/>
          <w:sz w:val="18"/>
          <w:szCs w:val="18"/>
        </w:rPr>
        <w:t>响应单位所提供的经营业绩必须列入上表中，未列入上表的不予计算。评标小组将依据每个经营业绩所附证明材料的有效性判断该业绩有效性。</w:t>
      </w:r>
    </w:p>
    <w:p w14:paraId="45C37A7F">
      <w:pPr>
        <w:spacing w:line="420" w:lineRule="exact"/>
        <w:ind w:firstLine="360" w:firstLineChars="200"/>
        <w:rPr>
          <w:rFonts w:ascii="黑体" w:hAnsi="黑体" w:eastAsia="黑体" w:cs="黑体"/>
          <w:sz w:val="18"/>
          <w:szCs w:val="18"/>
        </w:rPr>
      </w:pPr>
      <w:r>
        <w:rPr>
          <w:rFonts w:hint="eastAsia" w:ascii="黑体" w:hAnsi="黑体" w:eastAsia="黑体" w:cs="黑体"/>
          <w:sz w:val="18"/>
          <w:szCs w:val="18"/>
        </w:rPr>
        <w:fldChar w:fldCharType="begin"/>
      </w:r>
      <w:r>
        <w:rPr>
          <w:rFonts w:hint="eastAsia" w:ascii="黑体" w:hAnsi="黑体" w:eastAsia="黑体" w:cs="黑体"/>
          <w:sz w:val="18"/>
          <w:szCs w:val="18"/>
        </w:rPr>
        <w:instrText xml:space="preserve">= 3 \* GB3</w:instrText>
      </w:r>
      <w:r>
        <w:rPr>
          <w:rFonts w:hint="eastAsia" w:ascii="黑体" w:hAnsi="黑体" w:eastAsia="黑体" w:cs="黑体"/>
          <w:sz w:val="18"/>
          <w:szCs w:val="18"/>
        </w:rPr>
        <w:fldChar w:fldCharType="separate"/>
      </w:r>
      <w:r>
        <w:rPr>
          <w:rFonts w:hint="eastAsia" w:ascii="黑体" w:hAnsi="黑体" w:eastAsia="黑体" w:cs="黑体"/>
          <w:sz w:val="18"/>
          <w:szCs w:val="18"/>
        </w:rPr>
        <w:t>③</w:t>
      </w:r>
      <w:r>
        <w:rPr>
          <w:rFonts w:hint="eastAsia" w:ascii="黑体" w:hAnsi="黑体" w:eastAsia="黑体" w:cs="黑体"/>
          <w:sz w:val="18"/>
          <w:szCs w:val="18"/>
        </w:rPr>
        <w:fldChar w:fldCharType="end"/>
      </w:r>
      <w:r>
        <w:rPr>
          <w:rFonts w:hint="eastAsia" w:ascii="黑体" w:hAnsi="黑体" w:eastAsia="黑体" w:cs="黑体"/>
          <w:sz w:val="18"/>
          <w:szCs w:val="18"/>
        </w:rPr>
        <w:t>若本项目有多个分包的，每个分包须分别填写此表，并注明分包号。</w:t>
      </w:r>
    </w:p>
    <w:p w14:paraId="7820678C">
      <w:pPr>
        <w:spacing w:line="360" w:lineRule="auto"/>
      </w:pPr>
    </w:p>
    <w:p w14:paraId="5C5BDCD1"/>
    <w:p w14:paraId="78FE3120"/>
    <w:p w14:paraId="1EA5A23A"/>
    <w:p w14:paraId="1D12C825"/>
    <w:p w14:paraId="00E9925C"/>
    <w:p w14:paraId="22CE6FC3"/>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EAE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9F0E65">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59F0E65">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8598">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2C182">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E2C182">
                    <w:pPr>
                      <w:pStyle w:val="8"/>
                    </w:pPr>
                    <w:r>
                      <w:fldChar w:fldCharType="begin"/>
                    </w:r>
                    <w:r>
                      <w:instrText xml:space="preserve"> PAGE  \* MERGEFORMAT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95924C">
                          <w:pPr>
                            <w:pStyle w:val="8"/>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F95924C">
                    <w:pPr>
                      <w:pStyle w:val="8"/>
                      <w:rPr>
                        <w:rFonts w:hint="eastAsia"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FBF27"/>
    <w:multiLevelType w:val="singleLevel"/>
    <w:tmpl w:val="A40FBF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jg0ZWNiMzc1ZTE1NTUzMDdiZWI1M2ZlMjZlZjkifQ=="/>
  </w:docVars>
  <w:rsids>
    <w:rsidRoot w:val="49937677"/>
    <w:rsid w:val="01B156C2"/>
    <w:rsid w:val="0F3F65F0"/>
    <w:rsid w:val="0F4A207C"/>
    <w:rsid w:val="0FE53C25"/>
    <w:rsid w:val="1323246D"/>
    <w:rsid w:val="13A57379"/>
    <w:rsid w:val="13D43D1A"/>
    <w:rsid w:val="15797649"/>
    <w:rsid w:val="1F613766"/>
    <w:rsid w:val="1FB96F10"/>
    <w:rsid w:val="2183605D"/>
    <w:rsid w:val="22403FD6"/>
    <w:rsid w:val="255E7E89"/>
    <w:rsid w:val="258713DF"/>
    <w:rsid w:val="27F247CA"/>
    <w:rsid w:val="2DE45370"/>
    <w:rsid w:val="364877B1"/>
    <w:rsid w:val="39EE6AA5"/>
    <w:rsid w:val="3D397F7F"/>
    <w:rsid w:val="3DD92AF3"/>
    <w:rsid w:val="43AC31FD"/>
    <w:rsid w:val="48515DA4"/>
    <w:rsid w:val="49937677"/>
    <w:rsid w:val="4A3A4B92"/>
    <w:rsid w:val="502578C2"/>
    <w:rsid w:val="525C6AF7"/>
    <w:rsid w:val="535866C2"/>
    <w:rsid w:val="53803DC4"/>
    <w:rsid w:val="57B03EB5"/>
    <w:rsid w:val="5E085B46"/>
    <w:rsid w:val="616520EE"/>
    <w:rsid w:val="63940094"/>
    <w:rsid w:val="64286A12"/>
    <w:rsid w:val="645F467C"/>
    <w:rsid w:val="66EA6DCC"/>
    <w:rsid w:val="689E0FFC"/>
    <w:rsid w:val="70BB10FC"/>
    <w:rsid w:val="72010DFE"/>
    <w:rsid w:val="749B0B40"/>
    <w:rsid w:val="759120A2"/>
    <w:rsid w:val="76357409"/>
    <w:rsid w:val="777C3458"/>
    <w:rsid w:val="77CA07E1"/>
    <w:rsid w:val="7EEB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1"/>
    <w:next w:val="1"/>
    <w:qFormat/>
    <w:uiPriority w:val="0"/>
    <w:pPr>
      <w:keepNext/>
      <w:keepLines/>
      <w:spacing w:before="260" w:after="260" w:line="416" w:lineRule="auto"/>
      <w:jc w:val="left"/>
      <w:outlineLvl w:val="2"/>
    </w:pPr>
    <w:rPr>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Normal Indent"/>
    <w:basedOn w:val="1"/>
    <w:qFormat/>
    <w:uiPriority w:val="0"/>
    <w:pPr>
      <w:adjustRightInd w:val="0"/>
      <w:spacing w:line="360" w:lineRule="atLeast"/>
      <w:ind w:firstLine="482"/>
    </w:pPr>
    <w:rPr>
      <w:kern w:val="0"/>
      <w:szCs w:val="20"/>
    </w:rPr>
  </w:style>
  <w:style w:type="paragraph" w:styleId="5">
    <w:name w:val="Body Text"/>
    <w:basedOn w:val="1"/>
    <w:semiHidden/>
    <w:unhideWhenUsed/>
    <w:qFormat/>
    <w:uiPriority w:val="99"/>
    <w:pPr>
      <w:spacing w:after="120"/>
    </w:pPr>
  </w:style>
  <w:style w:type="paragraph" w:styleId="6">
    <w:name w:val="Block Text"/>
    <w:basedOn w:val="1"/>
    <w:qFormat/>
    <w:uiPriority w:val="0"/>
    <w:pPr>
      <w:spacing w:after="120"/>
      <w:ind w:left="1440" w:leftChars="700" w:right="1440" w:rightChars="700"/>
    </w:pPr>
  </w:style>
  <w:style w:type="paragraph" w:styleId="7">
    <w:name w:val="index 4"/>
    <w:basedOn w:val="1"/>
    <w:next w:val="1"/>
    <w:unhideWhenUsed/>
    <w:qFormat/>
    <w:uiPriority w:val="99"/>
    <w:pPr>
      <w:ind w:left="600" w:leftChars="600"/>
    </w:pPr>
    <w:rPr>
      <w:rFonts w:ascii="Verdana" w:hAnsi="Verdana"/>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ind w:firstLine="420" w:firstLineChars="100"/>
    </w:pPr>
  </w:style>
  <w:style w:type="paragraph" w:customStyle="1" w:styleId="13">
    <w:name w:val="Index4"/>
    <w:basedOn w:val="1"/>
    <w:next w:val="1"/>
    <w:qFormat/>
    <w:uiPriority w:val="0"/>
    <w:pPr>
      <w:ind w:left="600" w:leftChars="600"/>
    </w:pPr>
    <w:rPr>
      <w:rFonts w:ascii="Verdana" w:hAnsi="Verdana"/>
      <w:szCs w:val="20"/>
    </w:rPr>
  </w:style>
  <w:style w:type="paragraph" w:customStyle="1" w:styleId="14">
    <w:name w:val="样式 样式 首行缩进:  2 字符 + 宋体"/>
    <w:basedOn w:val="1"/>
    <w:qFormat/>
    <w:uiPriority w:val="0"/>
    <w:pPr>
      <w:spacing w:beforeLines="50"/>
      <w:ind w:firstLine="200" w:firstLineChars="200"/>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Words>
  <Characters>86</Characters>
  <Lines>0</Lines>
  <Paragraphs>0</Paragraphs>
  <TotalTime>102</TotalTime>
  <ScaleCrop>false</ScaleCrop>
  <LinksUpToDate>false</LinksUpToDate>
  <CharactersWithSpaces>159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2021-05-11T07:30:00Z</dcterms:created>
  <dc:creator>liaojia</dc:creator>
  <cp:lastModifiedBy>胡萝卜素</cp:lastModifiedBy>
  <cp:lastPrinted>2021-06-01T08:34:00Z</cp:lastPrinted>
  <dcterms:modified xsi:type="dcterms:W3CDTF">2024-11-25T04:15:19Z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8221D5C93A394CB0A23D29EC553FB68D</vt:lpwstr>
  </property>
</Properties>
</file>